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134" w:right="-285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left="5528"/>
        <w:jc w:val="both"/>
        <w:widowControl w:val="off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  <w:t xml:space="preserve">УТВЕРЖДЕНА</w:t>
      </w:r>
      <w:r>
        <w:rPr>
          <w:rFonts w:cs="Times New Roman"/>
          <w:sz w:val="28"/>
          <w:szCs w:val="28"/>
        </w:rPr>
      </w:r>
    </w:p>
    <w:p>
      <w:pPr>
        <w:ind w:left="5528"/>
        <w:jc w:val="both"/>
        <w:widowControl w:val="off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  <w:t xml:space="preserve">Постановлением</w:t>
      </w:r>
      <w:r>
        <w:rPr>
          <w:rFonts w:cs="Times New Roman"/>
          <w:sz w:val="28"/>
          <w:szCs w:val="28"/>
        </w:rPr>
      </w:r>
    </w:p>
    <w:p>
      <w:pPr>
        <w:ind w:left="5528"/>
        <w:jc w:val="both"/>
        <w:widowControl w:val="off"/>
        <w:tabs>
          <w:tab w:val="left" w:pos="3261" w:leader="none"/>
        </w:tabs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</w:rPr>
        <w:t xml:space="preserve">от</w:t>
      </w:r>
      <w:r>
        <w:rPr>
          <w:rFonts w:cs="Times New Roman"/>
          <w:sz w:val="28"/>
          <w:szCs w:val="28"/>
          <w:lang w:val="en-US"/>
        </w:rPr>
        <w:t xml:space="preserve"> 06</w:t>
      </w:r>
      <w:r>
        <w:rPr>
          <w:rFonts w:cs="Times New Roman"/>
          <w:sz w:val="28"/>
          <w:szCs w:val="28"/>
          <w:lang w:val="ru-RU"/>
        </w:rPr>
        <w:t xml:space="preserve">.</w:t>
      </w:r>
      <w:r>
        <w:rPr>
          <w:rFonts w:cs="Times New Roman"/>
          <w:sz w:val="28"/>
          <w:szCs w:val="28"/>
          <w:lang w:val="en-US"/>
        </w:rPr>
        <w:t xml:space="preserve">10</w:t>
      </w:r>
      <w:r>
        <w:rPr>
          <w:rFonts w:cs="Times New Roman"/>
          <w:sz w:val="28"/>
          <w:szCs w:val="28"/>
          <w:lang w:val="ru-RU"/>
        </w:rPr>
        <w:t xml:space="preserve">.</w:t>
      </w:r>
      <w:r>
        <w:rPr>
          <w:rFonts w:cs="Times New Roman"/>
          <w:sz w:val="28"/>
          <w:szCs w:val="28"/>
          <w:lang w:val="en-US"/>
        </w:rPr>
        <w:t xml:space="preserve">2025</w:t>
      </w: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 xml:space="preserve">№ 1590</w:t>
      </w:r>
      <w:r>
        <w:rPr>
          <w:rFonts w:cs="Times New Roman"/>
          <w:sz w:val="28"/>
          <w:szCs w:val="28"/>
        </w:rPr>
      </w:r>
    </w:p>
    <w:p>
      <w:pPr>
        <w:jc w:val="center"/>
        <w:widowControl w:val="off"/>
        <w:tabs>
          <w:tab w:val="left" w:pos="3261" w:leader="none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center"/>
        <w:widowControl w:val="off"/>
        <w:tabs>
          <w:tab w:val="left" w:pos="3261" w:leader="none"/>
        </w:tabs>
        <w:rPr>
          <w:rFonts w:cs="Times New Roman"/>
          <w:sz w:val="28"/>
          <w:szCs w:val="28"/>
        </w:rPr>
      </w:pPr>
      <w:r>
        <w:rPr>
          <w:rFonts w:cs="Times New Roman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81299" cy="2197832"/>
                <wp:effectExtent l="0" t="0" r="9525" b="0"/>
                <wp:docPr id="1" name="Рисунок 16" descr="H:\Работа\2023\Печенгский МО\ger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:\Работа\2023\Печенгский МО\gerb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797164" cy="2217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40.26pt;height:173.06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cs="Times New Roman"/>
          <w:sz w:val="28"/>
          <w:szCs w:val="28"/>
        </w:rPr>
      </w:r>
    </w:p>
    <w:p>
      <w:pPr>
        <w:jc w:val="center"/>
        <w:widowControl w:val="off"/>
        <w:tabs>
          <w:tab w:val="left" w:pos="3261" w:leader="none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right="-1"/>
        <w:jc w:val="center"/>
        <w:widowControl w:val="off"/>
        <w:rPr>
          <w:rFonts w:eastAsia="Times New Roman" w:cs="Times New Roman"/>
          <w:b/>
          <w:bCs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СХЕМА</w:t>
      </w:r>
      <w:r>
        <w:rPr>
          <w:rFonts w:eastAsia="Times New Roman" w:cs="Times New Roman"/>
          <w:b/>
          <w:bCs/>
          <w:sz w:val="36"/>
          <w:szCs w:val="36"/>
          <w:lang w:eastAsia="ru-RU"/>
        </w:rPr>
        <w:t xml:space="preserve"> ТЕПЛОСНАБЖЕНИЯ</w:t>
      </w:r>
      <w:r>
        <w:rPr>
          <w:rFonts w:eastAsia="Times New Roman" w:cs="Times New Roman"/>
          <w:b/>
          <w:bCs/>
          <w:sz w:val="36"/>
          <w:szCs w:val="36"/>
          <w:lang w:eastAsia="ru-RU"/>
        </w:rPr>
      </w:r>
    </w:p>
    <w:p>
      <w:pPr>
        <w:ind w:right="-1"/>
        <w:jc w:val="center"/>
        <w:widowControl w:val="off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Печенгского муниципального округа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r>
    </w:p>
    <w:p>
      <w:pPr>
        <w:ind w:right="-1"/>
        <w:jc w:val="center"/>
        <w:widowControl w:val="off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Мурманской области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r>
    </w:p>
    <w:p>
      <w:pPr>
        <w:ind w:right="-1"/>
        <w:jc w:val="center"/>
        <w:widowControl w:val="off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на период до 2043 года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r>
    </w:p>
    <w:p>
      <w:pPr>
        <w:ind w:right="-1"/>
        <w:jc w:val="center"/>
        <w:spacing w:line="276" w:lineRule="auto"/>
        <w:rPr>
          <w:rFonts w:cs="Times New Roman"/>
          <w:sz w:val="28"/>
          <w:szCs w:val="28"/>
        </w:rPr>
      </w:pPr>
      <w:r/>
      <w:bookmarkStart w:id="0" w:name="_Hlk203553569"/>
      <w:r>
        <w:rPr>
          <w:rFonts w:cs="Times New Roman"/>
          <w:sz w:val="28"/>
          <w:szCs w:val="28"/>
        </w:rPr>
        <w:t xml:space="preserve">(актуализация на 202</w:t>
      </w:r>
      <w:r>
        <w:rPr>
          <w:rFonts w:cs="Times New Roman"/>
          <w:sz w:val="28"/>
          <w:szCs w:val="28"/>
        </w:rPr>
        <w:t xml:space="preserve">6 </w:t>
      </w:r>
      <w:r>
        <w:rPr>
          <w:rFonts w:cs="Times New Roman"/>
          <w:sz w:val="28"/>
          <w:szCs w:val="28"/>
        </w:rPr>
        <w:t xml:space="preserve">г.)</w:t>
      </w:r>
      <w:bookmarkEnd w:id="0"/>
      <w:r/>
      <w:r>
        <w:rPr>
          <w:rFonts w:cs="Times New Roman"/>
          <w:sz w:val="28"/>
          <w:szCs w:val="28"/>
        </w:rPr>
      </w:r>
    </w:p>
    <w:p>
      <w:pPr>
        <w:ind w:right="-1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right="-1"/>
        <w:jc w:val="center"/>
        <w:rPr>
          <w:rFonts w:cs="Times New Roman"/>
          <w:sz w:val="32"/>
          <w:szCs w:val="28"/>
        </w:rPr>
      </w:pPr>
      <w:r>
        <w:rPr>
          <w:rFonts w:cs="Times New Roman"/>
          <w:sz w:val="32"/>
          <w:szCs w:val="28"/>
        </w:rPr>
        <w:t xml:space="preserve">ОБОСНОВЫВАЮЩИЕ МАТЕРИАЛЫ </w:t>
      </w:r>
      <w:r>
        <w:rPr>
          <w:rFonts w:cs="Times New Roman"/>
          <w:sz w:val="32"/>
          <w:szCs w:val="28"/>
        </w:rPr>
      </w:r>
    </w:p>
    <w:p>
      <w:pPr>
        <w:ind w:right="-1"/>
        <w:jc w:val="center"/>
        <w:rPr>
          <w:rFonts w:cs="Times New Roman"/>
          <w:sz w:val="32"/>
          <w:szCs w:val="28"/>
        </w:rPr>
      </w:pPr>
      <w:r>
        <w:rPr>
          <w:rFonts w:cs="Times New Roman"/>
          <w:sz w:val="32"/>
          <w:szCs w:val="28"/>
        </w:rPr>
        <w:t xml:space="preserve">ТОМ 2</w:t>
      </w:r>
      <w:r>
        <w:rPr>
          <w:rFonts w:cs="Times New Roman"/>
          <w:sz w:val="32"/>
          <w:szCs w:val="28"/>
        </w:rPr>
      </w:r>
    </w:p>
    <w:p>
      <w:pPr>
        <w:jc w:val="center"/>
        <w:widowControl w:val="off"/>
        <w:tabs>
          <w:tab w:val="left" w:pos="3261" w:leader="none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center"/>
        <w:widowControl w:val="off"/>
        <w:tabs>
          <w:tab w:val="left" w:pos="3261" w:leader="none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center"/>
        <w:widowControl w:val="off"/>
        <w:tabs>
          <w:tab w:val="left" w:pos="3261" w:leader="none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center"/>
        <w:widowControl w:val="off"/>
        <w:tabs>
          <w:tab w:val="left" w:pos="3261" w:leader="none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center"/>
        <w:widowControl w:val="off"/>
        <w:tabs>
          <w:tab w:val="left" w:pos="3261" w:leader="none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center"/>
        <w:widowControl w:val="off"/>
        <w:tabs>
          <w:tab w:val="left" w:pos="326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tabs>
          <w:tab w:val="left" w:pos="326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Исполнитель: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ООО «СибЭнергоСбережение 2030»</w:t>
      </w:r>
      <w:r>
        <w:rPr>
          <w:sz w:val="28"/>
          <w:szCs w:val="28"/>
        </w:rPr>
      </w:r>
    </w:p>
    <w:p>
      <w:pPr>
        <w:widowControl w:val="off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Директор______________/А.А. Веретенников/</w:t>
      </w:r>
      <w:r>
        <w:rPr>
          <w:rFonts w:cs="Times New Roman"/>
          <w:sz w:val="28"/>
          <w:szCs w:val="28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jc w:val="center"/>
        <w:rPr>
          <w:rFonts w:cs="Times New Roman"/>
        </w:rPr>
      </w:pPr>
      <w:r>
        <w:rPr>
          <w:rFonts w:cs="Times New Roman"/>
        </w:rPr>
        <w:t xml:space="preserve">г. Красноярск – </w:t>
      </w:r>
      <w:r>
        <w:rPr>
          <w:rFonts w:cs="Times New Roman"/>
          <w:color w:val="000000"/>
        </w:rPr>
        <w:t xml:space="preserve">2025</w:t>
      </w:r>
      <w:r>
        <w:rPr>
          <w:rFonts w:cs="Times New Roman"/>
        </w:rPr>
        <w:t xml:space="preserve"> </w:t>
      </w:r>
      <w:r>
        <w:rPr>
          <w:rFonts w:cs="Times New Roman"/>
        </w:rPr>
        <w:t xml:space="preserve">г.</w:t>
      </w:r>
      <w:r>
        <w:rPr>
          <w:rFonts w:cs="Times New Roman"/>
        </w:rPr>
      </w:r>
    </w:p>
    <w:p>
      <w:pPr>
        <w:ind w:left="-1134" w:right="-285"/>
        <w:jc w:val="center"/>
        <w:rPr>
          <w:rFonts w:cs="Times New Roman"/>
          <w:sz w:val="28"/>
          <w:szCs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sdt>
      <w:sdtPr>
        <w15:appearance w15:val="boundingBox"/>
        <w:id w:val="-1619589712"/>
        <w:docPartObj>
          <w:docPartGallery w:val="Table of Contents"/>
          <w:docPartUnique w:val="true"/>
        </w:docPartObj>
        <w:rPr>
          <w:rFonts w:ascii="Times New Roman" w:hAnsi="Times New Roman" w:cs="Times New Roman" w:eastAsiaTheme="minorHAnsi"/>
          <w:color w:val="auto"/>
          <w:sz w:val="24"/>
          <w:szCs w:val="22"/>
          <w:lang w:eastAsia="en-US"/>
        </w:rPr>
      </w:sdtPr>
      <w:sdtContent>
        <w:p>
          <w:pPr>
            <w:pStyle w:val="1689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Оглавление</w:t>
          </w:r>
          <w:r>
            <w:rPr>
              <w:rFonts w:ascii="Times New Roman" w:hAnsi="Times New Roman" w:cs="Times New Roman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</w:rPr>
            <w:fldChar w:fldCharType="separate"/>
          </w:r>
          <w:hyperlink w:tooltip="#_Toc204085688" w:anchor="_Toc204085688" w:history="1">
            <w:r>
              <w:rPr>
                <w:rStyle w:val="725"/>
                <w:rFonts w:ascii="Times New Roman" w:hAnsi="Times New Roman" w:cs="Times New Roman"/>
              </w:rPr>
              <w:t xml:space="preserve">ГЛАВА 2. СУЩЕСТВУЮЩЕЕ И ПЕРСПЕКТИВНОЕ ПОТРЕБЛЕНИЕ ТЕПЛОВОЙ ЭНЕРГИИ НА ЦЕЛИ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_Toc204085688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689" w:anchor="_Toc204085689" w:history="1">
            <w:r>
              <w:rPr>
                <w:rStyle w:val="725"/>
                <w:rFonts w:ascii="Times New Roman" w:hAnsi="Times New Roman" w:cs="Times New Roman"/>
              </w:rPr>
              <w:t xml:space="preserve">Часть 1. ДАННЫЕ БАЗОВОГО УРОВНЯ ПОТРЕБЛЕНИЯ ТЕПЛА НА ЦЕЛИ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_Toc204085689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690" w:anchor="_Toc204085690" w:history="1">
            <w:r>
              <w:rPr>
                <w:rStyle w:val="725"/>
                <w:rFonts w:ascii="Times New Roman" w:hAnsi="Times New Roman" w:cs="Times New Roman"/>
              </w:rPr>
              <w:t xml:space="preserve">Часть 2. ПРОГНОЗЫ ПРИРОСТОВ СТРОИТЕЛЬНЫХ ПЛОЩАДЕЙ ФОНДОВ, СГРУПИРОВАННЫЕ ПО РАСЧЕТНЫМ </w:t>
            </w:r>
            <w:r>
              <w:rPr>
                <w:rStyle w:val="725"/>
                <w:rFonts w:ascii="Times New Roman" w:hAnsi="Times New Roman" w:cs="Times New Roman"/>
              </w:rPr>
              <w:t xml:space="preserve">ЭЛЕМЕНТАМ ТЕРРИТОРИАЛЬНОГО ДЕЛЕНИЯ И ПО ЗОНАМ ДЕЙСТВИЯ ИСТОЧНИКОВ ТЕПЛОВОЙ ЭНЕРГИИ С РАЗДЕЛЕНИЕМ ОБЪЕКТОВ СТРОИТЕЛЬСТВА НА МНОГКВАРТИРНЫЕ ДОМА, ИНДИВИДУАЛЬНЫЕ ЖИЛЫЕ ДОМА, ОБЩЕСТВЕННЫЕ ЗДАНИЯ, ПРОИЗВОДСТВЕННЫЕ ЗДАНИЯ ПРОМЫШЛЕННЫХ ПРЕДПРИЯТИЙ НА КАЖДОМ ЭТАПЕ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_Toc204085690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691" w:anchor="_Toc204085691" w:history="1">
            <w:r>
              <w:rPr>
                <w:rStyle w:val="725"/>
                <w:rFonts w:ascii="Times New Roman" w:hAnsi="Times New Roman" w:cs="Times New Roman"/>
              </w:rPr>
              <w:t xml:space="preserve">Часть 3. ПРОГНОЗЫ П</w:t>
            </w:r>
            <w:r>
              <w:rPr>
                <w:rStyle w:val="725"/>
                <w:rFonts w:ascii="Times New Roman" w:hAnsi="Times New Roman" w:cs="Times New Roman"/>
              </w:rPr>
              <w:t xml:space="preserve">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РОССИЙСКОЙ ФЕДЕРАЦИИ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_Toc204085691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16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692" w:anchor="_Toc204085692" w:history="1">
            <w:r>
              <w:rPr>
                <w:rStyle w:val="725"/>
                <w:rFonts w:ascii="Times New Roman" w:hAnsi="Times New Roman" w:cs="Times New Roman"/>
              </w:rPr>
              <w:t xml:space="preserve">Часть 4. ПРОГНОЗЫ ПРИРОСТОВ ОБЪЕМОВ ПОТРЕБЛЕНИЯ Т</w:t>
            </w:r>
            <w:r>
              <w:rPr>
                <w:rStyle w:val="725"/>
                <w:rFonts w:ascii="Times New Roman" w:hAnsi="Times New Roman" w:cs="Times New Roman"/>
              </w:rPr>
              <w:t xml:space="preserve">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_Toc204085692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693" w:anchor="_Toc204085693" w:history="1">
            <w:r>
              <w:rPr>
                <w:rStyle w:val="725"/>
                <w:rFonts w:ascii="Times New Roman" w:hAnsi="Times New Roman" w:cs="Times New Roman"/>
              </w:rPr>
              <w:t xml:space="preserve">Часть 5. ПРОГНОЗЫ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_Toc204085693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29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694" w:anchor="_Toc204085694" w:history="1">
            <w:r>
              <w:rPr>
                <w:rStyle w:val="725"/>
                <w:rFonts w:ascii="Times New Roman" w:hAnsi="Times New Roman" w:cs="Times New Roman"/>
              </w:rPr>
              <w:t xml:space="preserve">Часть 6. ПРОГНОЗЫ ПРИРОСТОВ ОБЪЕМОВ ПОТРЕБЛЕНИИ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</w:t>
            </w:r>
            <w:r>
              <w:rPr>
                <w:rStyle w:val="725"/>
                <w:rFonts w:ascii="Times New Roman" w:hAnsi="Times New Roman" w:cs="Times New Roman"/>
              </w:rPr>
              <w:t xml:space="preserve">ЛОВОЙ ЭНЕРГИИ (МОЩНОСТИ) ПРОИЗВОДСТВЕННЫМИ ОБЪКТАМИ С РАЗДЕЛЕНИЕМ ПО ВИДАМ ТЕПЛОПОТРЕБЛЕНИЯ И ПО ВОДАМ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_Toc204085694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695" w:anchor="_Toc204085695" w:history="1">
            <w:r>
              <w:rPr>
                <w:rStyle w:val="725"/>
                <w:rFonts w:ascii="Times New Roman" w:hAnsi="Times New Roman" w:cs="Times New Roman"/>
              </w:rPr>
              <w:t xml:space="preserve">Часть 7. ОПИСАНИЕ ИЗМЕНЕНИЙ ПОКАЗАТЕЛЕЙ СУЩЕСТВУЮЩЕГО И ПЕРСПЕКТИВНОГО ПОТРЕБЛЕНИЯ ТЕПЛОВОЙ ЭНЕРГИИ НА ЦЕЛИ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_Toc204085695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696" w:anchor="_Toc204085696" w:history="1">
            <w:r>
              <w:rPr>
                <w:rStyle w:val="725"/>
                <w:rFonts w:ascii="Times New Roman" w:hAnsi="Times New Roman" w:cs="Times New Roman"/>
              </w:rPr>
              <w:t xml:space="preserve">Часть 8. 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_Toc204085696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697" w:anchor="_Toc204085697" w:history="1">
            <w:r>
              <w:rPr>
                <w:rStyle w:val="725"/>
                <w:rFonts w:ascii="Times New Roman" w:hAnsi="Times New Roman" w:cs="Times New Roman"/>
              </w:rPr>
              <w:t xml:space="preserve">Часть 9. АКТУАЛИЗИРОВАННЫЙ ПРОГНОЗ ПЕРСПЕКТИВНОЙ ЗАСТРОЙКИ ОТНОСИТЕЛЬНО УКАЗАННОГО В УТВЕРЖДЕННОЙ СХЕМЕ ТЕПЛОСНАБЖЕНИЯ ПРОГНОЗА ПЕРСПЕКТИВНОЙ ЗАСТРОЙКИ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_Toc204085697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698" w:anchor="_Toc204085698" w:history="1">
            <w:r>
              <w:rPr>
                <w:rStyle w:val="725"/>
                <w:rFonts w:ascii="Times New Roman" w:hAnsi="Times New Roman" w:cs="Times New Roman"/>
              </w:rPr>
              <w:t xml:space="preserve">Часть 10. РАСЧЕТНАЯ ТЕПЛОВАЯ НАГРУЗКА НА КОЛЛЕКТОРАХ ИСТОЧНИКОВ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_Toc204085698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699" w:anchor="_Toc204085699" w:history="1">
            <w:r>
              <w:rPr>
                <w:rStyle w:val="725"/>
                <w:rFonts w:ascii="Times New Roman" w:hAnsi="Times New Roman" w:cs="Times New Roman"/>
              </w:rPr>
              <w:t xml:space="preserve">ГЛАВА 3. ЭЛЕКТРОННАЯ МОДЕЛЬ СИСТЕМЫ ТЕПЛОСНАБЖЕНИЯ ПОСЕЛЕНИЯ, ГОРОДСКОГО ОКРУГА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_Toc204085699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00" w:anchor="_Toc204085700" w:history="1">
            <w:r>
              <w:rPr>
                <w:rStyle w:val="725"/>
                <w:rFonts w:ascii="Times New Roman" w:hAnsi="Times New Roman" w:cs="Times New Roman"/>
              </w:rPr>
              <w:t xml:space="preserve">ГЛАВА 4. СУЩЕСТВУЮЩИЕ И ПЕРСПЕКТИВНЫЕ БАЛАНСЫ ТЕПЛОВОЙ МОЩНОСТИ ИСТОЧНИКОВ ТЕПЛОВОЙ ЭНЕРГИИ И ТЕПЛОВОЙ НАГРУЗКИ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_Toc204085700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01" w:anchor="_Toc204085701" w:history="1">
            <w:r>
              <w:rPr>
                <w:rStyle w:val="725"/>
                <w:rFonts w:ascii="Times New Roman" w:hAnsi="Times New Roman" w:cs="Times New Roman"/>
              </w:rPr>
              <w:t xml:space="preserve">Часть 1. БАЛАНСЫ СУЩЕСТВУЮЩЕЙ НА БАЗОВЫЙ ПЕРИОД СХЕМЫ ТЕПЛОСНАБЖЕНИЯ (АКТУАЛИЗАЦИИ СХЕМЫ ТЕПЛОСНАБЖЕНИЯ) ТЕПЛОВОЙ МОЩНОСТИ И ПЕР</w:t>
            </w:r>
            <w:r>
              <w:rPr>
                <w:rStyle w:val="725"/>
                <w:rFonts w:ascii="Times New Roman" w:hAnsi="Times New Roman" w:cs="Times New Roman"/>
              </w:rPr>
              <w:t xml:space="preserve">СПЕКТИВНОЙ ТЕПЛОВОЙ НАГРУЗКИ В КАЖДОМ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 РАСЧЕТНОЙ ТЕПЛОВОЙ НАГРУЗКИ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_Toc204085701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02" w:anchor="_Toc204085702" w:history="1">
            <w:r>
              <w:rPr>
                <w:rStyle w:val="725"/>
                <w:rFonts w:ascii="Times New Roman" w:hAnsi="Times New Roman" w:cs="Times New Roman"/>
              </w:rPr>
              <w:t xml:space="preserve">Часть 2. ГИДРАВЛИЧЕСК</w:t>
            </w:r>
            <w:r>
              <w:rPr>
                <w:rStyle w:val="725"/>
                <w:rFonts w:ascii="Times New Roman" w:hAnsi="Times New Roman" w:cs="Times New Roman"/>
              </w:rPr>
              <w:t xml:space="preserve">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_Toc204085702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03" w:anchor="_Toc204085703" w:history="1">
            <w:r>
              <w:rPr>
                <w:rStyle w:val="725"/>
                <w:rFonts w:ascii="Times New Roman" w:hAnsi="Times New Roman" w:cs="Times New Roman"/>
              </w:rPr>
              <w:t xml:space="preserve">Часть 3. 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_Toc204085703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04" w:anchor="_Toc204085704" w:history="1">
            <w:r>
              <w:rPr>
                <w:rStyle w:val="725"/>
                <w:rFonts w:ascii="Times New Roman" w:hAnsi="Times New Roman" w:cs="Times New Roman"/>
              </w:rPr>
              <w:t xml:space="preserve">ГЛАВА 5. МАСТЕР-ПЛАН РАЗВИТИЯ СИСТЕМ ТЕПЛОСНАБЖЕНИЯ ПОСЕЛЕНИЯ, ГОРОДСКОГО ОКРУГА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_Toc204085704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59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05" w:anchor="_Toc204085705" w:history="1">
            <w:r>
              <w:rPr>
                <w:rStyle w:val="725"/>
                <w:rFonts w:ascii="Times New Roman" w:hAnsi="Times New Roman" w:cs="Times New Roman"/>
              </w:rPr>
              <w:t xml:space="preserve">Часть 1. ОПИСАНИЕ ВАРИАНТОВ П</w:t>
            </w:r>
            <w:r>
              <w:rPr>
                <w:rStyle w:val="725"/>
                <w:rFonts w:ascii="Times New Roman" w:hAnsi="Times New Roman" w:cs="Times New Roman"/>
              </w:rPr>
              <w:t xml:space="preserve">ЕРСПЕКТИВНОГО РАЗВИТИЯ СИСТЕМ ТЕПЛОСНАБЖЕНИЯ ПОСЕЛЕНИЯ, ГОРОДСКОГО ОКРУГА, ГОРОДА ФЕДЕРАЛЬНОГО ЗНАЧЕНИЯ 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_Toc204085705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59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06" w:anchor="_Toc204085706" w:history="1">
            <w:r>
              <w:rPr>
                <w:rStyle w:val="725"/>
                <w:rFonts w:ascii="Times New Roman" w:hAnsi="Times New Roman" w:cs="Times New Roman"/>
              </w:rPr>
              <w:t xml:space="preserve">Часть 2. ТЕХНИКО-ЭКОНОМИЧЕСКОЕ СРАВНЕНИЕ ВАРИАНТОВ ПЕРСПЕКТИВНОГО РАЗВИТИЯ СИСТЕМ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_Toc204085706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07" w:anchor="_Toc204085707" w:history="1">
            <w:r>
              <w:rPr>
                <w:rStyle w:val="725"/>
                <w:rFonts w:ascii="Times New Roman" w:hAnsi="Times New Roman" w:cs="Times New Roman"/>
              </w:rPr>
              <w:t xml:space="preserve">Часть 3. ОБОСНОВАНИЕ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_Toc204085707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08" w:anchor="_Toc204085708" w:history="1">
            <w:r>
              <w:rPr>
                <w:rStyle w:val="725"/>
                <w:rFonts w:ascii="Times New Roman" w:hAnsi="Times New Roman" w:cs="Times New Roman"/>
              </w:rPr>
              <w:t xml:space="preserve">Часть 4. ОПИСАНИЕ ИЗМЕНЕНИЙ В МАСТЕР-ПЛАНЕ РАЗВИТИЯ СИСТЕМ ТЕПЛОСНАБЖЕНИЯ МУНИЦИПАЛЬНОГО ОБРАЗОВАНИЯ ЗА ПЕРИОД, ПРЕДШЕСТВУЮЩИЙ АКТУАЛИЗАЦИИ СХЕМЫ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_Toc204085708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64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09" w:anchor="_Toc204085709" w:history="1">
            <w:r>
              <w:rPr>
                <w:rStyle w:val="725"/>
                <w:rFonts w:ascii="Times New Roman" w:hAnsi="Times New Roman" w:cs="Times New Roman"/>
              </w:rPr>
      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_Toc204085709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65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10" w:anchor="_Toc204085710" w:history="1">
            <w:r>
              <w:rPr>
                <w:rStyle w:val="725"/>
                <w:rFonts w:ascii="Times New Roman" w:hAnsi="Times New Roman" w:cs="Times New Roman"/>
              </w:rPr>
              <w:t xml:space="preserve">Часть 1. РАСЧЕТНАЯ ВЕЛИЧИН</w:t>
            </w:r>
            <w:r>
              <w:rPr>
                <w:rStyle w:val="725"/>
                <w:rFonts w:ascii="Times New Roman" w:hAnsi="Times New Roman" w:cs="Times New Roman"/>
              </w:rPr>
              <w:t xml:space="preserve">А НОРМАТИВНЫХ ПОТЕРЬ (В ЦЕНОВЫХ ЗОНАХ ТЕПЛОСНАБЖЕНИЯ - РАСЧЕТНАЯ ВЕЛИЧИНА ПЛАНОВЫХ ПОТЕРЬ, ОПРЕДЕЛЯЕМЫХ В СООТВЕТСТВИИ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_Toc204085710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65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11" w:anchor="_Toc204085711" w:history="1">
            <w:r>
              <w:rPr>
                <w:rStyle w:val="725"/>
                <w:rFonts w:ascii="Times New Roman" w:hAnsi="Times New Roman" w:cs="Times New Roman"/>
              </w:rPr>
              <w:t xml:space="preserve">Часть 2. 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</w:t>
            </w:r>
            <w:r>
              <w:rPr>
                <w:rStyle w:val="725"/>
                <w:rFonts w:ascii="Times New Roman" w:hAnsi="Times New Roman" w:cs="Times New Roman"/>
              </w:rPr>
              <w:t xml:space="preserve">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_Toc204085711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12" w:anchor="_Toc204085712" w:history="1">
            <w:r>
              <w:rPr>
                <w:rStyle w:val="725"/>
                <w:rFonts w:ascii="Times New Roman" w:hAnsi="Times New Roman" w:cs="Times New Roman"/>
              </w:rPr>
              <w:t xml:space="preserve">Часть 3. СВЕДЕНИЯ О НАЛИЧИИ БАКОВ-АККУМУЛЯТОРОВ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_Toc204085712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13" w:anchor="_Toc204085713" w:history="1">
            <w:r>
              <w:rPr>
                <w:rStyle w:val="725"/>
                <w:rFonts w:ascii="Times New Roman" w:hAnsi="Times New Roman" w:cs="Times New Roman"/>
              </w:rPr>
              <w:t xml:space="preserve">Часть 4. 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_Toc204085713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14" w:anchor="_Toc204085714" w:history="1">
            <w:r>
              <w:rPr>
                <w:rStyle w:val="725"/>
                <w:rFonts w:ascii="Times New Roman" w:hAnsi="Times New Roman" w:cs="Times New Roman"/>
              </w:rPr>
              <w:t xml:space="preserve">Часть 5.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_Toc204085714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15" w:anchor="_Toc204085715" w:history="1">
            <w:r>
              <w:rPr>
                <w:rStyle w:val="725"/>
                <w:rFonts w:ascii="Times New Roman" w:hAnsi="Times New Roman" w:cs="Times New Roman"/>
              </w:rPr>
              <w:t xml:space="preserve">Часть 6. ОПИСАНИЕ ИЗМЕНЕНИЙ В СУЩЕСТВУЮЩИ</w:t>
            </w:r>
            <w:r>
              <w:rPr>
                <w:rStyle w:val="725"/>
                <w:rFonts w:ascii="Times New Roman" w:hAnsi="Times New Roman" w:cs="Times New Roman"/>
              </w:rPr>
              <w:t xml:space="preserve">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_Toc204085715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89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16" w:anchor="_Toc204085716" w:history="1">
            <w:r>
              <w:rPr>
                <w:rStyle w:val="725"/>
                <w:rFonts w:ascii="Times New Roman" w:hAnsi="Times New Roman" w:cs="Times New Roman"/>
              </w:rPr>
              <w:t xml:space="preserve">ГЛАВА 7.  ПРЕДЛОЖЕНИЯ ПО СТРОИТЕЛЬСТВУ, РЕКОНСТРУКЦИИ, ТЕХНИЧЕСКОМУ ПЕРЕВООРУЖЕНИЮ И (ИЛИ) МОДЕРНИЗАЦИИ ИСТОЧНИКОВ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_Toc204085716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89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17" w:anchor="_Toc204085717" w:history="1">
            <w:r>
              <w:rPr>
                <w:rStyle w:val="725"/>
                <w:rFonts w:ascii="Times New Roman" w:hAnsi="Times New Roman" w:cs="Times New Roman"/>
              </w:rPr>
              <w:t xml:space="preserve">Часть 1. ОПИСАНИЕ УСЛОВИЙ ОРГАНИЗАЦИИ ЦЕНТРАЛИЗОВАННОГО ТЕПЛОСНАБЖЕНИЯ, ИНДИВИДУАЛЬНОГО ТЕПЛОСНАБЖЕНИЯ, А ТАКЖЕ ПОКВАРТИРНОГО ОТОПЛЕНИЯ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_Toc204085717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89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18" w:anchor="_Toc204085718" w:history="1">
            <w:r>
              <w:rPr>
                <w:rStyle w:val="725"/>
                <w:rFonts w:ascii="Times New Roman" w:hAnsi="Times New Roman" w:cs="Times New Roman"/>
              </w:rPr>
              <w:t xml:space="preserve">Часть 2. ОПИСАНИЕ ТЕКУЩЕЙ СИТУАЦИИ, СВЯЗАННОЙ С РАНЕЕ ПРИНЯТЫМИ</w:t>
            </w:r>
            <w:r>
              <w:rPr>
                <w:rStyle w:val="725"/>
                <w:rFonts w:ascii="Times New Roman" w:hAnsi="Times New Roman" w:cs="Times New Roman"/>
              </w:rPr>
              <w:t xml:space="preserve"> В СООТВЕТСТВИИ С ЗАКОНОДАТЕЛЬСТВОМ РОССИЙСКОЙ ФЕДЕРАЦИИ ОБ ЭЛЕКТРОЭНЕРГЕТИКЕ РЕШЕНИЯМИ ОБ ОТНЕСЕНИИ ГЕНЕРИРУЮЩИХ ОБЪЕКТОВ К ГЕНЕРИРУЮЩИМ ОБЪЕКТАМ, МОЩНОСТЬ КОТОРЫХ ПОСТАВЛЯЕТСЯ В ВЫНУЖДЕННОМ РЕЖИМЕ В ЦЕЛЯХ ОБЕСПЕЧЕНИЯ НАДЕЖНОГО ТЕПЛОСНАБЖЕНИЯ ПОТРЕБИТЕЛЕЙ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_Toc204085718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19" w:anchor="_Toc204085719" w:history="1">
            <w:r>
              <w:rPr>
                <w:rStyle w:val="725"/>
                <w:rFonts w:ascii="Times New Roman" w:hAnsi="Times New Roman" w:cs="Times New Roman"/>
              </w:rPr>
              <w:t xml:space="preserve">Часть 3. АНАЛИЗ НАДЕЖНОСТИ И КАЧЕСТВА ТЕПЛОСНАБЖЕНИЯ ДЛЯ СЛУЧАЕВ ОТНЕСЕНИЯ ГЕНЕР</w:t>
            </w:r>
            <w:r>
              <w:rPr>
                <w:rStyle w:val="725"/>
                <w:rFonts w:ascii="Times New Roman" w:hAnsi="Times New Roman" w:cs="Times New Roman"/>
              </w:rPr>
              <w:t xml:space="preserve">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</w:t>
            </w:r>
            <w:r>
              <w:rPr>
                <w:rStyle w:val="725"/>
                <w:rFonts w:ascii="Times New Roman" w:hAnsi="Times New Roman" w:cs="Times New Roman"/>
              </w:rPr>
              <w:t xml:space="preserve">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ПЕРИОД), В СООТВЕТСТВИИ С МЕТОДИЧЕСКИМИ УКАЗАНИЯМИ ПО РАЗРАБОТКЕ СХЕМ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_Toc204085719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20" w:anchor="_Toc204085720" w:history="1">
            <w:r>
              <w:rPr>
                <w:rStyle w:val="725"/>
                <w:rFonts w:ascii="Times New Roman" w:hAnsi="Times New Roman" w:cs="Times New Roman"/>
              </w:rPr>
              <w:t xml:space="preserve">Часть 4. ОБОСНОВАНИЕ ПРЕДЛАГАЕМЫХ ДЛЯ СТРОИТЕЛЬСТВА ИСТОЧНИКОВ ТЕПЛОВОЙ ЭНЕРГИИ, ФУНКЦИОНИРУЮЩИХ В РЕЖИМЕ КОМБИНИРОВАННОЙ ВЫРАБОТКОЙ ЭЛЕКТРИЧЕСКОЙ И ТЕПЛОВОЙ ЭНЕРГИИ, ДЛЯ ОБЕСПЕЧЕНИЯ ПЕРСПЕКТИВНЫХ ТЕПЛОВЫХ НАГРУЗОК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_Toc204085720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21" w:anchor="_Toc204085721" w:history="1">
            <w:r>
              <w:rPr>
                <w:rStyle w:val="725"/>
                <w:rFonts w:ascii="Times New Roman" w:hAnsi="Times New Roman" w:cs="Times New Roman"/>
              </w:rPr>
              <w:t xml:space="preserve">Часть 5. ОБОСНОВАНИЕ ПРЕДЛАГАЕМЫХ ДЛЯ РЕКОНСТРУКЦИИ И (ИЛИ) МОДЕРНИЗАЦИИ ДЕЙСТВУЮЩИХ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ПРИРОСТОВ ТЕПЛОВЫХ НАГРУЗОК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_Toc204085721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22" w:anchor="_Toc204085722" w:history="1">
            <w:r>
              <w:rPr>
                <w:rStyle w:val="725"/>
                <w:rFonts w:ascii="Times New Roman" w:hAnsi="Times New Roman" w:cs="Times New Roman"/>
              </w:rPr>
              <w:t xml:space="preserve">Часть 6. 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</w:t>
            </w:r>
            <w:r>
              <w:rPr>
                <w:rStyle w:val="725"/>
                <w:rFonts w:ascii="Times New Roman" w:hAnsi="Times New Roman" w:cs="Times New Roman"/>
              </w:rPr>
              <w:t xml:space="preserve">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_Toc204085722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23" w:anchor="_Toc204085723" w:history="1">
            <w:r>
              <w:rPr>
                <w:rStyle w:val="725"/>
                <w:rFonts w:ascii="Times New Roman" w:hAnsi="Times New Roman" w:cs="Times New Roman"/>
              </w:rPr>
              <w:t xml:space="preserve">Часть 7. ОБОСНОВАНИЕ ПРЕДЛАГАЕМЫХ ДЛЯ РЕКОНСТРУКЦИИ И (ИЛИ) МОДЕРНИЗАЦИИ КОТЕЛЬНЫХ С УВЕЛИЧЕНИЕМ ЗОНЫ ИХ ДЕЙСТВИЯ ПУТЕМ ВКЛЮЧЕНИЯ В НЕЕ ЗОН ДЕЙСТВИЯ СУЩЕСТВУЮЩИХ ИСТОЧНИКОВ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_Toc204085723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24" w:anchor="_Toc204085724" w:history="1">
            <w:r>
              <w:rPr>
                <w:rStyle w:val="725"/>
                <w:rFonts w:ascii="Times New Roman" w:hAnsi="Times New Roman" w:cs="Times New Roman"/>
              </w:rPr>
              <w:t xml:space="preserve">Часть 8. 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_Toc204085724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25" w:anchor="_Toc204085725" w:history="1">
            <w:r>
              <w:rPr>
                <w:rStyle w:val="725"/>
                <w:rFonts w:ascii="Times New Roman" w:hAnsi="Times New Roman" w:cs="Times New Roman"/>
              </w:rPr>
              <w:t xml:space="preserve">Часть 9. ОБОСНОВАНИЕ ПРЕДЛОЖЕНИЙ ПО РАСШИРЕНИЮ ЗОН ДЕЙСТВИЯ ДЕЙСТВУЮЩИХ ИСТОЧНИКОВ ТЕПЛОВОЙ ЭНЕРГИИ, ФУНКЦИОНИРУЮЩИХ В РЕЖИМЕ КОМБИНИРОВАННОЙ ВЫРАБОТКИ ЭЛЕКТРИЧЕСКОЙ И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_Toc204085725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26" w:anchor="_Toc204085726" w:history="1">
            <w:r>
              <w:rPr>
                <w:rStyle w:val="725"/>
                <w:rFonts w:ascii="Times New Roman" w:hAnsi="Times New Roman" w:cs="Times New Roman"/>
              </w:rPr>
              <w:t xml:space="preserve">Часть 10. 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_Toc204085726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27" w:anchor="_Toc204085727" w:history="1">
            <w:r>
              <w:rPr>
                <w:rStyle w:val="725"/>
                <w:rFonts w:ascii="Times New Roman" w:hAnsi="Times New Roman" w:cs="Times New Roman"/>
              </w:rPr>
              <w:t xml:space="preserve">Часть 11. ОБОСНОВАНИЕ ОРГАНИЗАЦИИ ИНДИВИДУАЛЬНОГО ТЕПЛОСНАБЖЕНИЯ В ЗОНАХ ЗАСТРОЙКИ ПОСЕЛЕНИЯ, ГОРОДСКОГО ОКРУГА, ГОРОДА ФЕДЕРАЛЬНОГО ЗНАЧЕНИЯ МАЛОЭТАЖНЫМИ ЖИЛЫМИ ЗДАНИЯМИ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_Toc204085727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28" w:anchor="_Toc204085728" w:history="1">
            <w:r>
              <w:rPr>
                <w:rStyle w:val="725"/>
                <w:rFonts w:ascii="Times New Roman" w:hAnsi="Times New Roman" w:cs="Times New Roman"/>
              </w:rPr>
              <w:t xml:space="preserve">Часть</w:t>
            </w:r>
            <w:r>
              <w:rPr>
                <w:rStyle w:val="725"/>
                <w:rFonts w:ascii="Times New Roman" w:hAnsi="Times New Roman" w:cs="Times New Roman"/>
              </w:rPr>
              <w:t xml:space="preserve"> 12.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ПОСЕЛЕНИЯ, ГОРОДСКОГО ОКРУГА, ГОРОДА ФЕДЕРАЛЬНОГО ЗНАЧЕНИЯ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_Toc204085728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29" w:anchor="_Toc204085729" w:history="1">
            <w:r>
              <w:rPr>
                <w:rStyle w:val="725"/>
                <w:rFonts w:ascii="Times New Roman" w:hAnsi="Times New Roman" w:cs="Times New Roman"/>
              </w:rPr>
              <w:t xml:space="preserve">Часть 13. АНАЛИЗ ЦЕЛЕСООБРАЗНОСТИ ВВОДА НОВЫХ И РЕКОНСТРУКЦИИ И (ИЛИ) МОДЕРНИЗАЦИИ СУЩЕСТВУЮЩИХ ИСТОЧНИКОВ ТЕПЛОВОЙ ЭНЕРГИИ С ИСПОЛЬЗОВАНИЕМ ВОЗОБНОВЛЯЕМЫХ ИСТОЧНИКОВ ЭНЕРГИИ, А ТАКЖЕ МЕСТНЫХ ВИДОВ ТОПЛИВА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_Toc204085729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30" w:anchor="_Toc204085730" w:history="1">
            <w:r>
              <w:rPr>
                <w:rStyle w:val="725"/>
                <w:rFonts w:ascii="Times New Roman" w:hAnsi="Times New Roman" w:cs="Times New Roman"/>
              </w:rPr>
              <w:t xml:space="preserve">Часть 14. ОБОСНОВАНИЕ ОРГАНИЗАЦИИ ТЕПЛОСНАБЖЕНИЯ В ПРОИЗВОДСТВЕННЫХ ЗОНАХ НА ТЕРРИТОРИИ ПОСЕЛЕНИЯ, ГОРОДСКОГО ОКРУГА, ГОРОДА ФЕДЕРАЛЬНОГО ЗНАЧЕНИЯ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_Toc204085730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31" w:anchor="_Toc204085731" w:history="1">
            <w:r>
              <w:rPr>
                <w:rStyle w:val="725"/>
                <w:rFonts w:ascii="Times New Roman" w:hAnsi="Times New Roman" w:cs="Times New Roman"/>
              </w:rPr>
              <w:t xml:space="preserve">Часть 15. РЕЗУЛЬТАТЫ РАСЧЕТОВ РАДИУСА ЭФФЕКТИВНОГО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_Toc204085731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32" w:anchor="_Toc204085732" w:history="1">
            <w:r>
              <w:rPr>
                <w:rStyle w:val="725"/>
                <w:rFonts w:ascii="Times New Roman" w:hAnsi="Times New Roman" w:cs="Times New Roman"/>
              </w:rPr>
              <w:t xml:space="preserve">Часть 16. ПОКРЫТИЕ ПЕРСПЕКТИВНОЙ ТЕПЛОВОЙ НАГРУЗКИ, НЕ ОБЕСПЕЧЕННОЙ ТЕПЛОВОЙ МОЩНОСТЬЮ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_Toc204085732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33" w:anchor="_Toc204085733" w:history="1">
            <w:r>
              <w:rPr>
                <w:rStyle w:val="725"/>
                <w:rFonts w:ascii="Times New Roman" w:hAnsi="Times New Roman" w:cs="Times New Roman"/>
              </w:rPr>
              <w:t xml:space="preserve">Часть 17. МАКСИМАЛЬНАЯ ВЫРАБОТКА ЭЛЕКТРИЧЕСКОЙ ЭНЕРГИИ НА БАЗЕ ПРИРОСТА ТЕПЛОВОГО ПОТРЕБЛЕНИЯ НА КОЛЛЕКТОРАХ СУЩЕСТВУЮЩИХ ИСТОЧНИКОВ ТЕПЛОВОЙ ЭНЕРГИИ, ФУНКЦИОНИРУЮЩИХ В РЕЖИМЕ КОМБИНИРОВАННОЙ ВЫРАБОТКИ ЭЛЕКТРИЧЕСКОЙ И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_Toc204085733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34" w:anchor="_Toc204085734" w:history="1">
            <w:r>
              <w:rPr>
                <w:rStyle w:val="725"/>
                <w:rFonts w:ascii="Times New Roman" w:hAnsi="Times New Roman" w:cs="Times New Roman"/>
              </w:rPr>
              <w:t xml:space="preserve">Часть 18. ОПРЕДЕЛЕНИЕ ПЕРСПЕКТИВНЫХ РЕЖИМОВ ЗАГРУЗКИ ИСТОЧНИКОВ ТЕПЛОВОЙ ЭНЕРГИИ ПО ПРИСОЕДИНЕННОЙ ТЕПЛОВОЙ НАГРУЗКЕ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_Toc204085734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35" w:anchor="_Toc204085735" w:history="1">
            <w:r>
              <w:rPr>
                <w:rStyle w:val="725"/>
                <w:rFonts w:ascii="Times New Roman" w:hAnsi="Times New Roman" w:cs="Times New Roman"/>
              </w:rPr>
              <w:t xml:space="preserve">Часть 19. ОПРЕДЕЛЕНИЕ ПОТРЕБНОСТИ В ТОПЛИВЕ И РЕКОМЕНДАЦИИ ПО ВИДАМ ИСПОЛЬЗУЕМОГО ТОПЛИВА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_Toc204085735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36" w:anchor="_Toc204085736" w:history="1">
            <w:r>
              <w:rPr>
                <w:rStyle w:val="725"/>
                <w:rFonts w:ascii="Times New Roman" w:hAnsi="Times New Roman" w:cs="Times New Roman"/>
              </w:rPr>
              <w:t xml:space="preserve">Часть 20. ОПИСАНИЕ ИЗМЕНЕНИЙ В ПРЕДЛОЖЕНИЯХ ПО СТРОИТЕЛЬСТВУ, РЕКОНСТРУКЦИИ, ТЕХНИЧЕСКОМУ ПЕРЕВООРУЖЕНИЮ И (ИЛИ) МОДЕРНИЗАЦИИ ИСТОЧНИКОВ ТЕПЛОВОЙ ЭНЕРГИИ ЗА ПЕРИОД, ПРЕДШЕСТВУЮЩИЙ </w:t>
            </w:r>
            <w:r>
              <w:rPr>
                <w:rStyle w:val="725"/>
                <w:rFonts w:ascii="Times New Roman" w:hAnsi="Times New Roman" w:cs="Times New Roman"/>
              </w:rPr>
              <w:t xml:space="preserve">АКТУАЛИЗАЦИИ СХЕМЫ ТЕПЛОСНАБЖЕНИЯ, В ТОМ ЧИСЛЕ С УЧЕТОМ ВВЕДЕННЫХ В ЭКСПЛУАТАЦИЮ НОВЫХ, РЕКОНСТРУИРОВАННЫХ И ПРОШЕДШИХ ТЕХНИЧЕСКОЕ ПЕРЕВООРУЖЕНИЕ И (ИЛИ) МОДЕРНИЗАЦИЮ ИСТОЧНИКОВ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_Toc204085736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37" w:anchor="_Toc204085737" w:history="1">
            <w:r>
              <w:rPr>
                <w:rStyle w:val="725"/>
                <w:rFonts w:ascii="Times New Roman" w:hAnsi="Times New Roman" w:cs="Times New Roman"/>
              </w:rPr>
              <w:t xml:space="preserve">ГЛАВА 8. ПРЕДЛОЖЕНИЯ ПО СТРОИТЕЛЬСТВУ, РЕКОНСТРУКЦИИ И (ИЛИ) МОДЕРНИЗАЦИИ ТЕПЛОВЫХ СЕТЕЙ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_Toc204085737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38" w:anchor="_Toc204085738" w:history="1">
            <w:r>
              <w:rPr>
                <w:rStyle w:val="725"/>
                <w:rFonts w:ascii="Times New Roman" w:hAnsi="Times New Roman" w:cs="Times New Roman"/>
              </w:rPr>
              <w:t xml:space="preserve">Часть 1. 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_Toc204085738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39" w:anchor="_Toc204085739" w:history="1">
            <w:r>
              <w:rPr>
                <w:rStyle w:val="725"/>
                <w:rFonts w:ascii="Times New Roman" w:hAnsi="Times New Roman" w:cs="Times New Roman"/>
              </w:rPr>
              <w:t xml:space="preserve">Часть 2. 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ОКРУГА, ГОРОДА ФЕДЕРАЛЬНОГО</w:t>
            </w:r>
            <w:r>
              <w:rPr>
                <w:rStyle w:val="725"/>
                <w:rFonts w:ascii="Times New Roman" w:hAnsi="Times New Roman" w:cs="Times New Roman"/>
              </w:rPr>
              <w:t xml:space="preserve">    </w:t>
            </w:r>
            <w:r>
              <w:rPr>
                <w:rStyle w:val="725"/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_Toc204085739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40" w:anchor="_Toc204085740" w:history="1">
            <w:r>
              <w:rPr>
                <w:rStyle w:val="725"/>
                <w:rFonts w:ascii="Times New Roman" w:hAnsi="Times New Roman" w:cs="Times New Roman"/>
              </w:rPr>
              <w:t xml:space="preserve">Часть 3. 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_Toc204085740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41" w:anchor="_Toc204085741" w:history="1">
            <w:r>
              <w:rPr>
                <w:rStyle w:val="725"/>
                <w:rFonts w:ascii="Times New Roman" w:hAnsi="Times New Roman" w:cs="Times New Roman"/>
              </w:rPr>
              <w:t xml:space="preserve"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_Toc204085741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42" w:anchor="_Toc204085742" w:history="1">
            <w:r>
              <w:rPr>
                <w:rStyle w:val="725"/>
                <w:rFonts w:ascii="Times New Roman" w:hAnsi="Times New Roman" w:cs="Times New Roman"/>
              </w:rPr>
              <w:t xml:space="preserve">Часть 5. ПРЕДЛОЖЕНИЯ ПО СТРОИТЕЛЬСТВУ ТЕПЛОВЫХ СЕТЕЙ ДЛЯ ОБЕСПЕЧЕНИЯ НОРМАТИВНОЙ НАДЕЖНОСТИ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_Toc204085742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43" w:anchor="_Toc204085743" w:history="1">
            <w:r>
              <w:rPr>
                <w:rStyle w:val="725"/>
                <w:rFonts w:ascii="Times New Roman" w:hAnsi="Times New Roman" w:cs="Times New Roman"/>
              </w:rPr>
              <w:t xml:space="preserve">Часть 6. 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_Toc204085743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44" w:anchor="_Toc204085744" w:history="1">
            <w:r>
              <w:rPr>
                <w:rStyle w:val="725"/>
                <w:rFonts w:ascii="Times New Roman" w:hAnsi="Times New Roman" w:cs="Times New Roman"/>
              </w:rPr>
              <w:t xml:space="preserve">Часть 7. 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_Toc204085744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45" w:anchor="_Toc204085745" w:history="1">
            <w:r>
              <w:rPr>
                <w:rStyle w:val="725"/>
                <w:rFonts w:ascii="Times New Roman" w:hAnsi="Times New Roman" w:cs="Times New Roman"/>
              </w:rPr>
              <w:t xml:space="preserve">Часть 8. ПРЕДЛОЖЕНИЯ ПО СТРОИТЕЛЬСТВУ, РЕКОНСТРУКЦИИ И (ИЛИ) МОДЕРНИЗАЦИИ НАСОСНЫХ СТАНЦИЙ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_Toc204085745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46" w:anchor="_Toc204085746" w:history="1">
            <w:r>
              <w:rPr>
                <w:rStyle w:val="725"/>
                <w:rFonts w:ascii="Times New Roman" w:hAnsi="Times New Roman" w:cs="Times New Roman"/>
              </w:rPr>
              <w:t xml:space="preserve">Часть 9. ОПИСАНИЕ ИЗМЕНЕ</w:t>
            </w:r>
            <w:r>
              <w:rPr>
                <w:rStyle w:val="725"/>
                <w:rFonts w:ascii="Times New Roman" w:hAnsi="Times New Roman" w:cs="Times New Roman"/>
              </w:rPr>
              <w:t xml:space="preserve">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СЕТЕЙ, И СООРУЖЕНИЙ НА НИХ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_Toc204085746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47" w:anchor="_Toc204085747" w:history="1">
            <w:r>
              <w:rPr>
                <w:rStyle w:val="725"/>
                <w:rFonts w:ascii="Times New Roman" w:hAnsi="Times New Roman" w:cs="Times New Roman"/>
              </w:rPr>
              <w:t xml:space="preserve">ГЛАВА 9. ПРЕДЛОЖЕНИЯ ПО ПЕРЕВОДУ ОТКРЫТЫХ СИСТЕМ ТЕПЛОСНАБЖЕНИЯ (ГОРЯЧГО ВОДОСНАБЖЕНИЯ), ОТДЕЛЬНЫХ УЧАСТКОВ ТАКИХ СИСТЕМ В ЗАКРЫТЫЕ СИСТЕМЫ ГОРЯЧЕГО ВОДОСНАБЖЕНИЯ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_Toc204085747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48" w:anchor="_Toc204085748" w:history="1">
            <w:r>
              <w:rPr>
                <w:rStyle w:val="725"/>
                <w:rFonts w:ascii="Times New Roman" w:hAnsi="Times New Roman" w:cs="Times New Roman"/>
              </w:rPr>
              <w:t xml:space="preserve">Часть 1. 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</w:t>
            </w:r>
            <w:r>
              <w:rPr>
                <w:rStyle w:val="725"/>
                <w:rFonts w:ascii="Times New Roman" w:hAnsi="Times New Roman" w:cs="Times New Roman"/>
              </w:rPr>
              <w:t xml:space="preserve">СИСТЕМЕ ТЕПЛОСНАБЖЕНИЯ (ГОРЯЧЕГО ВОДОСНАБЖЕНИЯ), ОТДЕЛЬНЫМ УЧАСТКАМ ТАКОЙ СИСТЕМЫ, НА ЗАКРЫТУЮ СИСТЕМУ ГОРЯЧЕГО ВОДОСНАБЖЕНИЯ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_Toc204085748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49" w:anchor="_Toc204085749" w:history="1">
            <w:r>
              <w:rPr>
                <w:rStyle w:val="725"/>
                <w:rFonts w:ascii="Times New Roman" w:hAnsi="Times New Roman" w:cs="Times New Roman"/>
              </w:rPr>
              <w:t xml:space="preserve">Часть 2. ОБОСНОВАНИЕ И ПЕРЕСМОТР ГРАФИКА ТЕМПЕРАТУР ТЕПЛОНОСИТЕЛЯ И ЕГО РАСХОДА В ОТКРЫТОЙ СИСТЕМЕ ТЕПЛОСНАБЖЕНИЯ (ГОРЯЧЕГО ВОДОСНАБЖЕНИЯ)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_Toc204085749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116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50" w:anchor="_Toc204085750" w:history="1">
            <w:r>
              <w:rPr>
                <w:rStyle w:val="725"/>
                <w:rFonts w:ascii="Times New Roman" w:hAnsi="Times New Roman" w:cs="Times New Roman"/>
              </w:rPr>
              <w:t xml:space="preserve">Часть 3. ПРЕДЛОЖЕНИЯ ПО РЕКОНСТРУКЦИИ ТЕПЛОВЫХ СЕТЕЙ В ОТКРЫТЫХ СИСТЕМАХ ТЕПЛОСНАБЖЕНИЯ (ГОРЯЧЕГО ВОДОСНАБЖЕНИЯ), НА ОТДЕЛЬНЫХ УЧАСТКАХ ТАКИХ СИСТЕМ, ОБЕСПЕЧИВАЮЩИХ ПЕРЕДАЧУ ТЕПЛОВОЙ ЭНЕРГИИ К ПОТРЕБИТЕЛЯМ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_Toc204085750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116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51" w:anchor="_Toc204085751" w:history="1">
            <w:r>
              <w:rPr>
                <w:rStyle w:val="725"/>
                <w:rFonts w:ascii="Times New Roman" w:hAnsi="Times New Roman" w:cs="Times New Roman"/>
              </w:rPr>
              <w:t xml:space="preserve">Часть 4. РАСЧЕТ ПОТРЕБНОСТИ ИНВЕСТИЦИЙ ДЛЯ ПЕРЕВОДА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_Toc204085751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117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52" w:anchor="_Toc204085752" w:history="1">
            <w:r>
              <w:rPr>
                <w:rStyle w:val="725"/>
                <w:rFonts w:ascii="Times New Roman" w:hAnsi="Times New Roman" w:cs="Times New Roman"/>
              </w:rPr>
              <w:t xml:space="preserve">Часть 5. ОЦЕНКА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_Toc204085752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117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53" w:anchor="_Toc204085753" w:history="1">
            <w:r>
              <w:rPr>
                <w:rStyle w:val="725"/>
                <w:rFonts w:ascii="Times New Roman" w:hAnsi="Times New Roman" w:cs="Times New Roman"/>
              </w:rPr>
              <w:t xml:space="preserve">Часть 6. РАСЧЕТ ЦЕНОВЫХ (ТАРИФНЫХ) ПОСЛЕДСТВИЙ ДЛЯ ПОТРЕБИТЕЛЕЙ В СЛУЧАЕ РЕАЛИЗАЦИИ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_Toc204085753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54" w:anchor="_Toc204085754" w:history="1">
            <w:r>
              <w:rPr>
                <w:rStyle w:val="725"/>
                <w:rFonts w:ascii="Times New Roman" w:hAnsi="Times New Roman" w:cs="Times New Roman"/>
              </w:rPr>
              <w:t xml:space="preserve">Часть 7. ОПИСАНИЕ АКТУАЛЬНЫХ ИЗМЕНЕНИЙ В ПРЕДЛОЖЕНИЯХ ПО ПЕРЕВОДУ ОТКРЫТЫХ СИС</w:t>
            </w:r>
            <w:r>
              <w:rPr>
                <w:rStyle w:val="725"/>
                <w:rFonts w:ascii="Times New Roman" w:hAnsi="Times New Roman" w:cs="Times New Roman"/>
              </w:rPr>
              <w:t xml:space="preserve">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_Toc204085754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55" w:anchor="_Toc204085755" w:history="1">
            <w:r>
              <w:rPr>
                <w:rStyle w:val="725"/>
                <w:rFonts w:ascii="Times New Roman" w:hAnsi="Times New Roman" w:cs="Times New Roman"/>
              </w:rPr>
              <w:t xml:space="preserve">ГЛАВА 10. ПЕРСПЕКТИВНЫЕ ТОПЛИВНЫЕ БАЛАНСЫ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_Toc204085755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56" w:anchor="_Toc204085756" w:history="1">
            <w:r>
              <w:rPr>
                <w:rStyle w:val="725"/>
                <w:rFonts w:ascii="Times New Roman" w:hAnsi="Times New Roman" w:cs="Times New Roman"/>
              </w:rPr>
              <w:t xml:space="preserve">Часть 1. РАСЧЕТЫ ПО КАЖДОМУ ИСТОЧНИКУ ТЕПЛОВОЙ ЭНЕРГИИ ПЕРСПЕКТИВНЫ</w:t>
            </w:r>
            <w:r>
              <w:rPr>
                <w:rStyle w:val="725"/>
                <w:rFonts w:ascii="Times New Roman" w:hAnsi="Times New Roman" w:cs="Times New Roman"/>
              </w:rPr>
              <w:t xml:space="preserve">Х МАКСИМАЛЬНЫХ ЧАСОВЫХ И ГОДОВЫХ РАСХОДОВ ОСНОВНОГО ВИДА ТОПЛИВА ДЛЯ ЗИМНЕГО И ЛЕТНЕГО ПЕРИОДОВ, НЕОБХОДИМОГО ДЛЯ ОБЕСПЕЧЕНИЯ НОРМАТИВНОГО ФУНКЦИОНИРОВАНИЯ ИСТОЧНИКОВ ТЕПЛОВОЙ ЭНЕРГИИ НА ТЕРРИТОРИИ ПОСЕЛЕНИЯ, ГОРОДСКОГО ОКРУГА, ГОРОДА ФЕДЕРАЛЬНОГО ЗНАЧЕНИЯ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_Toc204085756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57" w:anchor="_Toc204085757" w:history="1">
            <w:r>
              <w:rPr>
                <w:rStyle w:val="725"/>
                <w:rFonts w:ascii="Times New Roman" w:hAnsi="Times New Roman" w:cs="Times New Roman"/>
              </w:rPr>
              <w:t xml:space="preserve">Часть 2. РЕЗУЛЬТАТЫ РАСЧЕТОВ ПО КАЖДОМУ ИСТОЧНИКУ ТЕПЛОВОЙ ЭНЕРГИИ НОРМАТИВНЫХ ЗАПАСОВ ТОПЛИВА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_Toc204085757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129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58" w:anchor="_Toc204085758" w:history="1">
            <w:r>
              <w:rPr>
                <w:rStyle w:val="725"/>
                <w:rFonts w:ascii="Times New Roman" w:hAnsi="Times New Roman" w:cs="Times New Roman"/>
              </w:rPr>
              <w:t xml:space="preserve">Часть 3. 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_Toc204085758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135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59" w:anchor="_Toc204085759" w:history="1">
            <w:r>
              <w:rPr>
                <w:rStyle w:val="725"/>
                <w:rFonts w:ascii="Times New Roman" w:hAnsi="Times New Roman" w:cs="Times New Roman"/>
              </w:rPr>
              <w:t xml:space="preserve">Часть 4. ВИД ТОПЛИВА (В СЛУЧАЕ, ЕСЛИ ТОПЛИВОМ ЯВЛЯЕТСЯ УГОЛЬ, - ВИД ИСКОПАЕМОГО УГЛЯ В СООТВЕТСТВИИ С МЕЖГОСУДАРСТВЕННЫМ</w:t>
            </w:r>
            <w:r>
              <w:rPr>
                <w:rStyle w:val="725"/>
                <w:rFonts w:ascii="Times New Roman" w:hAnsi="Times New Roman" w:cs="Times New Roman"/>
              </w:rPr>
              <w:t xml:space="preserve">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_Toc204085759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135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60" w:anchor="_Toc204085760" w:history="1">
            <w:r>
              <w:rPr>
                <w:rStyle w:val="725"/>
                <w:rFonts w:ascii="Times New Roman" w:hAnsi="Times New Roman" w:cs="Times New Roman"/>
              </w:rPr>
              <w:t xml:space="preserve">Часть 5. ПРЕОБЛАДАЮЩИЙ В ПОСЕЛЕНИИ, ГОРОДСКОМ ОКРУГЕ ВИД ТОПЛИВА, ОПРЕДЕЛЯЕМЫЙ ПО СОВОКУПНОСТИ ВСЕХ СИСТЕМ ТЕПЛОСНАБЖЕНИЯ, НАХОДЯЩИХСЯ В СООТВЕТСВУЮЩЕМ ПОСЕЛЕНИИ, ГОРОДСКОМ ОКРУГЕ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_Toc204085760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136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61" w:anchor="_Toc204085761" w:history="1">
            <w:r>
              <w:rPr>
                <w:rStyle w:val="725"/>
                <w:rFonts w:ascii="Times New Roman" w:hAnsi="Times New Roman" w:cs="Times New Roman"/>
              </w:rPr>
              <w:t xml:space="preserve">Часть 6. ПРИОРИТЕТНОЕ НАПРАВЛЕНИЕ РАЗВИИЯ ТОПЛИВНОГО БАЛАНСА ПОСЕЛЕНИЯ, ГОРОДСКОГО ОКРУГА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_Toc204085761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137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62" w:anchor="_Toc204085762" w:history="1">
            <w:r>
              <w:rPr>
                <w:rStyle w:val="725"/>
                <w:rFonts w:ascii="Times New Roman" w:hAnsi="Times New Roman" w:cs="Times New Roman"/>
              </w:rPr>
              <w:t xml:space="preserve">Часть 7. 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_Toc204085762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138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63" w:anchor="_Toc204085763" w:history="1">
            <w:r>
              <w:rPr>
                <w:rStyle w:val="725"/>
                <w:rFonts w:ascii="Times New Roman" w:hAnsi="Times New Roman" w:cs="Times New Roman"/>
              </w:rPr>
              <w:t xml:space="preserve">ГЛАВА 11. ОЦЕНКА НАДЕЖНОСТИ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_Toc204085763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64" w:anchor="_Toc204085764" w:history="1">
            <w:r>
              <w:rPr>
                <w:rStyle w:val="725"/>
                <w:rFonts w:ascii="Times New Roman" w:hAnsi="Times New Roman" w:cs="Times New Roman"/>
              </w:rPr>
              <w:t xml:space="preserve">Часть 1. МЕТОДЫ И РЕЗУЛЬТАТЫ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_Toc204085764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65" w:anchor="_Toc204085765" w:history="1">
            <w:r>
              <w:rPr>
                <w:rStyle w:val="725"/>
                <w:rFonts w:ascii="Times New Roman" w:hAnsi="Times New Roman" w:cs="Times New Roman"/>
              </w:rPr>
              <w:t xml:space="preserve">Часть 2. М</w:t>
            </w:r>
            <w:r>
              <w:rPr>
                <w:rStyle w:val="725"/>
                <w:rFonts w:ascii="Times New Roman" w:hAnsi="Times New Roman" w:cs="Times New Roman"/>
              </w:rPr>
              <w:t xml:space="preserve">ЕТОДЫ И РЕЗУЛЬТАТЫ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_Toc204085765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66" w:anchor="_Toc204085766" w:history="1">
            <w:r>
              <w:rPr>
                <w:rStyle w:val="725"/>
                <w:rFonts w:ascii="Times New Roman" w:hAnsi="Times New Roman" w:cs="Times New Roman"/>
              </w:rPr>
              <w:t xml:space="preserve">Часть 3. РЕЗУЛЬТАТЫ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_Toc204085766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67" w:anchor="_Toc204085767" w:history="1">
            <w:r>
              <w:rPr>
                <w:rStyle w:val="725"/>
                <w:rFonts w:ascii="Times New Roman" w:hAnsi="Times New Roman" w:cs="Times New Roman"/>
              </w:rPr>
              <w:t xml:space="preserve">Часть 4. РЕЗУЛЬТАТЫ ОЦЕНКИ КОЭФФИЦИЕНТОВ ГОТОВНОСТИ ТЕПЛОПРОВОДОВ К НЕСЕНИЮ ТЕПЛОВОЙ НАГРУЗКИ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_Toc204085767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68" w:anchor="_Toc204085768" w:history="1">
            <w:r>
              <w:rPr>
                <w:rStyle w:val="725"/>
                <w:rFonts w:ascii="Times New Roman" w:hAnsi="Times New Roman" w:cs="Times New Roman"/>
              </w:rPr>
              <w:t xml:space="preserve">Часть 5. РЕЗУЛЬТАТЫ ОЦЕНКИ НЕДООТПУСКА ТЕПЛОВОЙ ЭНЕРГИИ ПО ПРИЧИНЕ ОТКАЗОВ (АВАРИЙНЫХ СИТУАЦИЙ) И ПРОСТОЕВ ТЕПЛОВЫХ СЕТЕЙ И ИСТОЧНИКОВ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_Toc204085768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69" w:anchor="_Toc204085769" w:history="1">
            <w:r>
              <w:rPr>
                <w:rStyle w:val="725"/>
                <w:rFonts w:ascii="Times New Roman" w:hAnsi="Times New Roman" w:cs="Times New Roman"/>
              </w:rPr>
              <w:t xml:space="preserve">Часть 6. ПРИМЕНЕНИЕ НА ИСТОЧНИКАХ ТЕПЛОВОЙ ЭНЕРГИИ РАЦИОНАЛЬНЫХ ТЕПЛОВЫХ СИСТЕМ С ДУБЛИРОВАННЫМИ СВЯЗЯМИ И НОВЫХ ТЕХНОЛОГИЙ, ОБЕСПЕЧИВАЮЩИХ НОРМАТИВНУЮ ГОТОВНОСТЬ ЭНЕРГЕТИЧЕСКОГО ОБОРУДОВАНИЯ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_Toc204085769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70" w:anchor="_Toc204085770" w:history="1">
            <w:r>
              <w:rPr>
                <w:rStyle w:val="725"/>
                <w:rFonts w:ascii="Times New Roman" w:hAnsi="Times New Roman" w:cs="Times New Roman"/>
              </w:rPr>
              <w:t xml:space="preserve">Часть 7. УСТАНОВКА РЕЗЕРВНОГО ОБОРУДОВАНИЯ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_Toc204085770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71" w:anchor="_Toc204085771" w:history="1">
            <w:r>
              <w:rPr>
                <w:rStyle w:val="725"/>
                <w:rFonts w:ascii="Times New Roman" w:hAnsi="Times New Roman" w:cs="Times New Roman"/>
              </w:rPr>
              <w:t xml:space="preserve">Часть 8. ОРГАНИЗАЦИЯ СОВМЕСТНОЙ РАБОТЫ НЕСКОЛЬКИХ ИСТОЧНИКОВ ТЕПЛОВОЙ ЭНЕРГИИ НА ЕДИНУЮ ТЕПЛОВУЮ СЕТЬ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_Toc204085771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72" w:anchor="_Toc204085772" w:history="1">
            <w:r>
              <w:rPr>
                <w:rStyle w:val="725"/>
                <w:rFonts w:ascii="Times New Roman" w:hAnsi="Times New Roman" w:cs="Times New Roman"/>
              </w:rPr>
              <w:t xml:space="preserve">Часть 9. РЕЗЕРВИРОВАНИЕ ТЕПЛОВЫХ СЕТЕЙ СМЕЖНЫХ РАЙОНОВ ПОСЕЛЕНИЯ, ГОРОДСКОГО ОКРУГА, ГОРОДА ФЕДЕРАЛЬНОГО ЗНАЧЕНИЯ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_Toc204085772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73" w:anchor="_Toc204085773" w:history="1">
            <w:r>
              <w:rPr>
                <w:rStyle w:val="725"/>
                <w:rFonts w:ascii="Times New Roman" w:hAnsi="Times New Roman" w:cs="Times New Roman"/>
              </w:rPr>
              <w:t xml:space="preserve">Часть 10. УСТРОЙСТВО РЕЗЕРВНЫХ НАСОСНЫХ СТАНЦИЙ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_Toc204085773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74" w:anchor="_Toc204085774" w:history="1">
            <w:r>
              <w:rPr>
                <w:rStyle w:val="725"/>
                <w:rFonts w:ascii="Times New Roman" w:hAnsi="Times New Roman" w:cs="Times New Roman"/>
              </w:rPr>
              <w:t xml:space="preserve">Часть 11. УСТАНОВКА БАКОВ-АККУМУЛЯТОРОВ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_Toc204085774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75" w:anchor="_Toc204085775" w:history="1">
            <w:r>
              <w:rPr>
                <w:rStyle w:val="725"/>
                <w:rFonts w:ascii="Times New Roman" w:hAnsi="Times New Roman" w:cs="Times New Roman"/>
              </w:rPr>
              <w:t xml:space="preserve">Часть 12. ОПИСАНИЕ ИЗМЕНЕНИЙ В ПОКАЗАТЕЛЯХ НАДЕЖНОСТИ ТЕПЛОСНАБЖЕНИЯ ЗА ПЕРИОД, ПРЕДШЕСТВУЮЩИЙ АКТУАЛИЗАЦИИ СХЕМЫ ТЕПЛОСНАБЖЕНИЯ, С УЧЕТОМ ВВЕДЕННЫХ В ЭКСПЛУАТАЦИЮ НОВЫХ И РЕКОНСТРУИРОВАННЫХ ТЕПЛОВЫХ СЕТЕЙ, И СООРУЖЕНИЙ НА НИХ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_Toc204085775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76" w:anchor="_Toc204085776" w:history="1">
            <w:r>
              <w:rPr>
                <w:rStyle w:val="725"/>
                <w:rFonts w:ascii="Times New Roman" w:hAnsi="Times New Roman" w:cs="Times New Roman"/>
              </w:rPr>
              <w:t xml:space="preserve">ГЛАВА 12. ОБОСНОВАНИЕ ИНВЕСТИЦИЙ В СТРОИТЕЛЬСТВО, РЕКОНСТРУКЦИЮ, ТЕХНИЧЕСКОЕ ПЕРЕВООРУЖЕНИЕ И (ИЛИ) МОДЕРНИЗАЦИЮ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_Toc204085776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145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77" w:anchor="_Toc204085777" w:history="1">
            <w:r>
              <w:rPr>
                <w:rStyle w:val="725"/>
                <w:rFonts w:ascii="Times New Roman" w:hAnsi="Times New Roman" w:cs="Times New Roman"/>
              </w:rPr>
              <w:t xml:space="preserve">Часть 1. 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_Toc204085777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145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78" w:anchor="_Toc204085778" w:history="1">
            <w:r>
              <w:rPr>
                <w:rStyle w:val="725"/>
                <w:rFonts w:ascii="Times New Roman" w:hAnsi="Times New Roman" w:cs="Times New Roman"/>
              </w:rPr>
              <w:t xml:space="preserve">Часть 2. 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_Toc204085778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152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79" w:anchor="_Toc204085779" w:history="1">
            <w:r>
              <w:rPr>
                <w:rStyle w:val="725"/>
                <w:rFonts w:ascii="Times New Roman" w:hAnsi="Times New Roman" w:cs="Times New Roman"/>
              </w:rPr>
              <w:t xml:space="preserve">Часть 3. РАСЧЕТЫ ЭКОНОМИЧЕСКОЙ ЭФФЕКТИВНОСТИ ИНВЕСТИЦИЙ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_Toc204085779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152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80" w:anchor="_Toc204085780" w:history="1">
            <w:r>
              <w:rPr>
                <w:rStyle w:val="725"/>
                <w:rFonts w:ascii="Times New Roman" w:hAnsi="Times New Roman" w:cs="Times New Roman"/>
              </w:rPr>
              <w:t xml:space="preserve">Часть 4. 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_Toc204085780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152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81" w:anchor="_Toc204085781" w:history="1">
            <w:r>
              <w:rPr>
                <w:rStyle w:val="725"/>
                <w:rFonts w:ascii="Times New Roman" w:hAnsi="Times New Roman" w:cs="Times New Roman"/>
              </w:rPr>
              <w:t xml:space="preserve">Часть 5. ОПИСАНИЕ ИЗМЕНЕНИЙ В ОБОСНОВАНИИ ИНВЕСТИЦИЙ (ОЦЕНКЕ ФИНАНСОВЫХ ПОТРЕБНОСТ</w:t>
            </w:r>
            <w:r>
              <w:rPr>
                <w:rStyle w:val="725"/>
                <w:rFonts w:ascii="Times New Roman" w:hAnsi="Times New Roman" w:cs="Times New Roman"/>
              </w:rPr>
              <w:t xml:space="preserve">ЕЙ, ПРЕДЛОЖЕНИЯХ ПО ИСТОЧНИКАМ ИНВЕСТИЦИЙ) В СТРОИТЕЛЬСТВО, РЕКОНСТРУКЦИЮ, ТЕХНИЧЕСКОЕ ПЕРЕВООРУЖЕНИЕ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_Toc204085781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152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82" w:anchor="_Toc204085782" w:history="1">
            <w:r>
              <w:rPr>
                <w:rStyle w:val="725"/>
                <w:rFonts w:ascii="Times New Roman" w:hAnsi="Times New Roman" w:cs="Times New Roman"/>
              </w:rPr>
              <w:t xml:space="preserve">ГЛАВА 13. ИНДИКАТОРЫ РАЗВИТИЯ СИСТЕМ ТЕПЛОСНАБЖЕНИЯ ПОСЕЛЕНИЯ, ГОРОДСКОГО ОКРУГА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_Toc204085782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153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83" w:anchor="_Toc204085783" w:history="1">
            <w:r>
              <w:rPr>
                <w:rStyle w:val="725"/>
                <w:rFonts w:ascii="Times New Roman" w:hAnsi="Times New Roman" w:cs="Times New Roman"/>
              </w:rPr>
              <w:t xml:space="preserve">Часть 1. ОПИСАНИЕ ИЗМЕНЕНИЙ (ФАКТИЧЕСКИХ ДАННЫХ) В ОЦЕНКЕ ЗНАЧЕНИЙ ИНДИКАТОРОВ РАЗВИТИЯ СИСТЕМ ТЕПЛОСНАБЖЕНИЯ ПОСЕЛЕНИЯ, ГОРОДСКОГО ОКРУГА, ГОРОДА ФЕДЕРАЛЬНОГО ЗНАЧЕНИЯ С УЧЕТОМ РЕАЛИЗАЦИИ ПРОЕКТОВ СХЕМЫ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_Toc204085783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160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84" w:anchor="_Toc204085784" w:history="1">
            <w:r>
              <w:rPr>
                <w:rStyle w:val="725"/>
                <w:rFonts w:ascii="Times New Roman" w:hAnsi="Times New Roman" w:cs="Times New Roman"/>
              </w:rPr>
              <w:t xml:space="preserve">ГЛАВА 14. ЦЕНОВЫЕ (ТАРИФНЫЕ) ПОСЛЕДСТВИЯ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_Toc204085784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161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85" w:anchor="_Toc204085785" w:history="1">
            <w:r>
              <w:rPr>
                <w:rStyle w:val="725"/>
                <w:rFonts w:ascii="Times New Roman" w:hAnsi="Times New Roman" w:cs="Times New Roman"/>
              </w:rPr>
              <w:t xml:space="preserve">Часть 1. ТАРИФНО-БАЛАНСОВЫЕ РАСЧЕТНЫЕ МОДЕЛИ ТЕПЛОСНАБЖЕНИЯ ПОТРЕБИТЕЛЕЙ ПО КАЖДОЙ СИСТЕМЕ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_Toc204085785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161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86" w:anchor="_Toc204085786" w:history="1">
            <w:r>
              <w:rPr>
                <w:rStyle w:val="725"/>
                <w:rFonts w:ascii="Times New Roman" w:hAnsi="Times New Roman" w:cs="Times New Roman"/>
              </w:rPr>
              <w:t xml:space="preserve">Часть 2. ТАРИФНО-БАЛАНСОВЫЕ РАСЧЕТНЫЕ МОДЕЛИ ТЕПЛОСНАБЖЕНИЯ ПОТРЕБИТЕЛЕЙ ПО КАЖДОЙ ЕДИНОЙ ТЕПЛОСНАБЖАЮЩЕЙ ОРГАНИЗАЦИИ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_Toc204085786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161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87" w:anchor="_Toc204085787" w:history="1">
            <w:r>
              <w:rPr>
                <w:rStyle w:val="725"/>
                <w:rFonts w:ascii="Times New Roman" w:hAnsi="Times New Roman" w:cs="Times New Roman"/>
              </w:rPr>
              <w:t xml:space="preserve"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_Toc204085787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161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88" w:anchor="_Toc204085788" w:history="1">
            <w:r>
              <w:rPr>
                <w:rStyle w:val="725"/>
                <w:rFonts w:ascii="Times New Roman" w:hAnsi="Times New Roman" w:cs="Times New Roman"/>
              </w:rPr>
              <w:t xml:space="preserve">Часть 4. ОПИСАНИЕ ИЗМЕНЕНИЙ (ФАКТИЧЕСКИХ ДАННЫХ) В ОЦЕНКЕ ЦЕНОВЫХ (ТАРИФНЫХ) ПОСЛЕДСТВИЙ РЕАЛИЗАЦИИ ПРОЕКТОВ СХЕМЫ</w:t>
            </w:r>
            <w:r>
              <w:rPr>
                <w:rStyle w:val="725"/>
                <w:rFonts w:ascii="Times New Roman" w:hAnsi="Times New Roman" w:cs="Times New Roman"/>
              </w:rPr>
              <w:t xml:space="preserve">     </w:t>
            </w:r>
            <w:r>
              <w:rPr>
                <w:rStyle w:val="725"/>
                <w:rFonts w:ascii="Times New Roman" w:hAnsi="Times New Roman" w:cs="Times New Roman"/>
              </w:rPr>
              <w:t xml:space="preserve">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_Toc204085788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167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89" w:anchor="_Toc204085789" w:history="1">
            <w:r>
              <w:rPr>
                <w:rStyle w:val="725"/>
                <w:rFonts w:ascii="Times New Roman" w:hAnsi="Times New Roman" w:cs="Times New Roman"/>
              </w:rPr>
              <w:t xml:space="preserve">ГЛАВА 15. РЕЕСТР ЕДИНЫХ ТЕПЛОСНАБЖАЮЩИХ ОРГАНИЗАЦИЙ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_Toc204085789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167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90" w:anchor="_Toc204085790" w:history="1">
            <w:r>
              <w:rPr>
                <w:rStyle w:val="725"/>
                <w:rFonts w:ascii="Times New Roman" w:hAnsi="Times New Roman" w:cs="Times New Roman"/>
              </w:rPr>
              <w:t xml:space="preserve">Часть 1.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_Toc204085790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167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91" w:anchor="_Toc204085791" w:history="1">
            <w:r>
              <w:rPr>
                <w:rStyle w:val="725"/>
                <w:rFonts w:ascii="Times New Roman" w:hAnsi="Times New Roman" w:cs="Times New Roman"/>
              </w:rPr>
              <w:t xml:space="preserve">Часть 2. 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_Toc204085791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168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92" w:anchor="_Toc204085792" w:history="1">
            <w:r>
              <w:rPr>
                <w:rStyle w:val="725"/>
                <w:rFonts w:ascii="Times New Roman" w:hAnsi="Times New Roman" w:cs="Times New Roman"/>
              </w:rPr>
              <w:t xml:space="preserve">Часть 3. ОСНОВАНИЯ, В ТОМ ЧИСЛЕ КРИТЕРИИ, В СООТВЕТСТВИИ С КОТОРЫМИ ТЕПЛОСНАБЖАЮЩЕЙ ОРГАНИЗАЦИИ ПРИСВОЕН СТАТУС ЕДИНОЙ ТЕПЛОСНАБЖАЮЩЕЙ ОРГАНИЗАЦИИ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_Toc204085792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174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93" w:anchor="_Toc204085793" w:history="1">
            <w:r>
              <w:rPr>
                <w:rStyle w:val="725"/>
                <w:rFonts w:ascii="Times New Roman" w:hAnsi="Times New Roman" w:cs="Times New Roman"/>
              </w:rPr>
              <w:t xml:space="preserve">Часть 4. 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_Toc204085793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179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94" w:anchor="_Toc204085794" w:history="1">
            <w:r>
              <w:rPr>
                <w:rStyle w:val="725"/>
                <w:rFonts w:ascii="Times New Roman" w:hAnsi="Times New Roman" w:cs="Times New Roman"/>
              </w:rPr>
              <w:t xml:space="preserve">Часть 5. ОПИСАНИЕ ГРАНИЦ ЗОН ДЕЯТЕЛЬНОСТИ ЕДИНОЙ ТЕПЛОСНАБЖАЮЩЕЙ ОРГАНИЗАЦИИ (ОРГАНИЗАЦИЙ)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_Toc204085794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179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95" w:anchor="_Toc204085795" w:history="1">
            <w:r>
              <w:rPr>
                <w:rStyle w:val="725"/>
                <w:rFonts w:ascii="Times New Roman" w:hAnsi="Times New Roman" w:cs="Times New Roman"/>
              </w:rPr>
              <w:t xml:space="preserve">Часть 6. ОПИСАНИЕ ИЗМЕНЕНИЙ В ЗОНАХ ДЕЯТЕЛЬНОСТИ ЕДИНЫХ ТЕПЛОСНАБЖАЮЩИХ ОРГАНИ</w:t>
            </w:r>
            <w:r>
              <w:rPr>
                <w:rStyle w:val="725"/>
                <w:rFonts w:ascii="Times New Roman" w:hAnsi="Times New Roman" w:cs="Times New Roman"/>
              </w:rPr>
              <w:t xml:space="preserve">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_Toc204085795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181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96" w:anchor="_Toc204085796" w:history="1">
            <w:r>
              <w:rPr>
                <w:rStyle w:val="725"/>
                <w:rFonts w:ascii="Times New Roman" w:hAnsi="Times New Roman" w:cs="Times New Roman"/>
              </w:rPr>
              <w:t xml:space="preserve">ГЛАВА 16. РЕЕСТР МЕРОПРИЯТИЙ СХЕМЫ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_Toc204085796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182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97" w:anchor="_Toc204085797" w:history="1">
            <w:r>
              <w:rPr>
                <w:rStyle w:val="725"/>
                <w:rFonts w:ascii="Times New Roman" w:hAnsi="Times New Roman" w:cs="Times New Roman"/>
              </w:rPr>
              <w:t xml:space="preserve">Часть 1. ПЕРЕЧЕНЬ МЕРОПРИЯТИЙ ПО СТРОИТЕЛЬСТВУ, РЕКОНСТРУКЦИИ, ТЕХНИЧЕСКОМУ ПЕРЕВООРУЖЕНИЮ И (ИЛИ) МОДЕРНИЗАЦИИ ИСТОЧНИКОВ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_Toc204085797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182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98" w:anchor="_Toc204085798" w:history="1">
            <w:r>
              <w:rPr>
                <w:rStyle w:val="725"/>
                <w:rFonts w:ascii="Times New Roman" w:hAnsi="Times New Roman" w:cs="Times New Roman"/>
              </w:rPr>
              <w:t xml:space="preserve">Часть 2. ПЕРЕЧЕНЬ МЕРОПРИЯТИЙ ПО СТРОИТЕЛЬСТВУ, РЕКОНСТРУКЦИИ, ТЕХНИЧЕСКОМУ ПЕРЕВООРУЖЕНИЮ И (ИЛИ) МОДЕРНИЗАЦИИ ТЕПЛОВЫХ СЕТЕЙ И СООРУЖЕНИЙ НА НИХ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_Toc204085798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186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799" w:anchor="_Toc204085799" w:history="1">
            <w:r>
              <w:rPr>
                <w:rStyle w:val="725"/>
                <w:rFonts w:ascii="Times New Roman" w:hAnsi="Times New Roman" w:cs="Times New Roman"/>
              </w:rPr>
              <w:t xml:space="preserve">Часть 3. 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_Toc204085799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189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800" w:anchor="_Toc204085800" w:history="1">
            <w:r>
              <w:rPr>
                <w:rStyle w:val="725"/>
                <w:rFonts w:ascii="Times New Roman" w:hAnsi="Times New Roman" w:cs="Times New Roman"/>
              </w:rPr>
              <w:t xml:space="preserve">ГЛАВА 17. ЗАМЕЧАНИЯ И ПРЕДЛОЖЕНИЯ К ПРОЕКТУ СХЕМЫ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_Toc204085800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189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801" w:anchor="_Toc204085801" w:history="1">
            <w:r>
              <w:rPr>
                <w:rStyle w:val="725"/>
                <w:rFonts w:ascii="Times New Roman" w:hAnsi="Times New Roman" w:cs="Times New Roman"/>
              </w:rPr>
              <w:t xml:space="preserve">ГЛАВА 18. СВОДНЫЙ ТОМ ИЗМЕНЕНИЙ, ВЫПОЛНЕННЫХ В ДОРАБОТАННОЙ И (ИЛИ) АКТУАЛИЗИРОВАННОЙ СХЕМЕ ТЕПЛОСНАБЖЕНИЯ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_Toc204085801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189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691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204085802" w:anchor="_Toc204085802" w:history="1">
            <w:r>
              <w:rPr>
                <w:rStyle w:val="725"/>
                <w:rFonts w:ascii="Times New Roman" w:hAnsi="Times New Roman" w:cs="Times New Roman"/>
              </w:rPr>
              <w:t xml:space="preserve">ГЛАВА 1</w:t>
            </w:r>
            <w:r>
              <w:rPr>
                <w:rStyle w:val="725"/>
                <w:rFonts w:ascii="Times New Roman" w:hAnsi="Times New Roman" w:cs="Times New Roman"/>
              </w:rPr>
              <w:t xml:space="preserve">9. СЦЕНАРИИ РАЗВИТИЯ АВАРИЙ В СХЕМАХ ТЕПЛОСНАБЖЕНИЯ С МОДЕЛИРОВАНИЕМ ГИДРАВЛИЧЕСКИХ РЕЖИМОВ ТАКИХ СИСТЕМ,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_Toc204085802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190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/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rPr>
              <w:rFonts w:cs="Times New Roman"/>
            </w:rPr>
          </w:pPr>
          <w:r>
            <w:rPr>
              <w:rFonts w:cs="Times New Roman"/>
              <w:b/>
              <w:bCs/>
            </w:rPr>
            <w:fldChar w:fldCharType="end"/>
          </w:r>
          <w:r>
            <w:rPr>
              <w:rFonts w:cs="Times New Roman"/>
            </w:rPr>
          </w:r>
        </w:p>
      </w:sdtContent>
    </w:sdt>
    <w:p>
      <w:pPr>
        <w:ind w:left="-1134" w:right="-285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rPr>
          <w:rFonts w:cs="Times New Roman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2" w:tooltip="file:///D:\Source\Ses\Docs\Оглавление%20том%202%20%20О.М..docx#bookmark0" w:anchor="bookmark0" w:history="1">
        <w:bookmarkStart w:id="1" w:name="_Toc30081802"/>
        <w:bookmarkStart w:id="2" w:name="_Toc30085036"/>
        <w:bookmarkStart w:id="3" w:name="_Toc32845302"/>
        <w:bookmarkStart w:id="4" w:name="_Toc204085688"/>
        <w:r>
          <w:t xml:space="preserve">ГЛАВА 2. СУЩЕСТВУЮЩЕЕ И ПЕРСПЕКТИВНОЕ ПОТРЕБЛЕНИЕ ТЕПЛОВОЙ</w:t>
        </w:r>
      </w:hyperlink>
      <w:r>
        <w:t xml:space="preserve"> </w:t>
      </w:r>
      <w:hyperlink r:id="rId13" w:tooltip="file:///D:\Source\Ses\Docs\Оглавление%20том%202%20%20О.М..docx#bookmark0" w:anchor="bookmark0" w:history="1">
        <w:r>
          <w:t xml:space="preserve">ЭНЕРГИИ НА ЦЕЛИ ТЕПЛОСНАБЖЕНИЯ</w:t>
        </w:r>
        <w:bookmarkEnd w:id="1"/>
        <w:bookmarkEnd w:id="2"/>
        <w:bookmarkEnd w:id="3"/>
        <w:bookmarkEnd w:id="4"/>
        <w:r>
          <w:t xml:space="preserve"> </w:t>
        </w:r>
      </w:hyperlink>
      <w:r/>
      <w:r/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4" w:tooltip="file:///D:\Source\Ses\Docs\Оглавление%20том%202%20%20О.М..docx#bookmark1" w:anchor="bookmark1" w:history="1">
        <w:bookmarkStart w:id="5" w:name="_Toc30081803"/>
        <w:bookmarkStart w:id="6" w:name="_Toc30085037"/>
        <w:bookmarkStart w:id="7" w:name="_Toc32845303"/>
        <w:bookmarkStart w:id="8" w:name="_Toc204085689"/>
        <w:r>
          <w:t xml:space="preserve">Часть 1. ДАННЫЕ БАЗОВОГО УРОВНЯ ПОТРЕБЛЕНИЯ ТЕПЛА НА ЦЕЛИ</w:t>
        </w:r>
      </w:hyperlink>
      <w:r>
        <w:t xml:space="preserve"> </w:t>
      </w:r>
      <w:hyperlink r:id="rId15" w:tooltip="file:///D:\Source\Ses\Docs\Оглавление%20том%202%20%20О.М..docx#bookmark1" w:anchor="bookmark1" w:history="1">
        <w:r>
          <w:t xml:space="preserve">ТЕПЛОСНАБЖЕНИЯ</w:t>
        </w:r>
        <w:bookmarkEnd w:id="5"/>
        <w:bookmarkEnd w:id="6"/>
        <w:bookmarkEnd w:id="7"/>
        <w:bookmarkEnd w:id="8"/>
        <w:r>
          <w:t xml:space="preserve">  </w:t>
        </w:r>
      </w:hyperlink>
      <w:r/>
      <w:r/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567"/>
        <w:rPr>
          <w:rFonts w:cs="Times New Roman"/>
        </w:rPr>
      </w:pPr>
      <w:r>
        <w:rPr>
          <w:rFonts w:cs="Times New Roman"/>
        </w:rPr>
        <w:t xml:space="preserve">Объем потребления тепловой энергии на цели теплоснабжения представлен в таблице 2.1.1.</w:t>
      </w:r>
      <w:r>
        <w:rPr>
          <w:rFonts w:cs="Times New Roman"/>
        </w:rPr>
      </w:r>
    </w:p>
    <w:p>
      <w:pPr>
        <w:pStyle w:val="728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spacing w:before="400" w:after="200"/>
        <w:rPr>
          <w:rFonts w:cs="Times New Roman"/>
          <w:b/>
        </w:rPr>
      </w:pPr>
      <w:r>
        <w:rPr>
          <w:rFonts w:cs="Times New Roman"/>
          <w:b/>
        </w:rPr>
        <w:t xml:space="preserve">Таблица 2.1.1 - Объем потребления тепловой энергии</w:t>
      </w:r>
      <w:r>
        <w:rPr>
          <w:rFonts w:cs="Times New Roman"/>
          <w:b/>
        </w:rPr>
      </w:r>
    </w:p>
    <w:tbl>
      <w:tblPr>
        <w:tblW w:w="20561" w:type="dxa"/>
        <w:tblInd w:w="-5" w:type="dxa"/>
        <w:tblLook w:val="04A0" w:firstRow="1" w:lastRow="0" w:firstColumn="1" w:lastColumn="0" w:noHBand="0" w:noVBand="1"/>
      </w:tblPr>
      <w:tblGrid>
        <w:gridCol w:w="2210"/>
        <w:gridCol w:w="1334"/>
        <w:gridCol w:w="1418"/>
        <w:gridCol w:w="1418"/>
        <w:gridCol w:w="1418"/>
        <w:gridCol w:w="1418"/>
        <w:gridCol w:w="1418"/>
        <w:gridCol w:w="1418"/>
        <w:gridCol w:w="1418"/>
        <w:gridCol w:w="1418"/>
        <w:gridCol w:w="1418"/>
        <w:gridCol w:w="1418"/>
        <w:gridCol w:w="1418"/>
        <w:gridCol w:w="1419"/>
      </w:tblGrid>
      <w:tr>
        <w:tblPrEx/>
        <w:trPr>
          <w:trHeight w:val="451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Показатель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Ед. изм.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2034-2038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2039-2043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ЕТО-1 АО "МЭС"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Выработка ТЭ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271312,00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259738,45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Отпуск с коллекторов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250110,00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238365,45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241180,00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241180,00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241180,00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241180,00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241180,00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241180,00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241180,00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241180,00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241180,00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241180,00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Собственное потребление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189,00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166,00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Потери в сетях АО "МЭС"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105,00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107,14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107,14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107,14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107,14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107,14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107,14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107,14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107,14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107,14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107,14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107,14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Отпуск потребителям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249816,00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238092,31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Отпуск</w:t>
            </w:r>
            <w:r>
              <w:rPr>
                <w:spacing w:val="-1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потребителям</w:t>
            </w:r>
            <w:r>
              <w:rPr>
                <w:spacing w:val="2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по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данным</w:t>
            </w:r>
            <w:r>
              <w:rPr>
                <w:spacing w:val="2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статистической</w:t>
            </w:r>
            <w:r>
              <w:rPr>
                <w:spacing w:val="2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отчетности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формы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46-</w:t>
            </w:r>
            <w:r>
              <w:rPr>
                <w:spacing w:val="25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ТЭ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"Сведения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</w:t>
            </w:r>
            <w:r>
              <w:rPr>
                <w:spacing w:val="2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полезном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отпуске</w:t>
            </w:r>
            <w:r>
              <w:rPr>
                <w:spacing w:val="2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тепловой</w:t>
            </w:r>
            <w:r>
              <w:rPr>
                <w:spacing w:val="-1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энергии"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240492,90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238092,31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241072,86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Потери в сетях МУП "Тепловые сети"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13190,50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13117,42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13174,04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13174,04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13174,04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13174,04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13174,04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13174,04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13174,04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13174,04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13174,04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13174,04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Выработка ТЭ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191312,00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165019,56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Отпуск с коллекторов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180213,00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154608,56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154215,00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154215,00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154215,00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154215,00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154215,00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154215,00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154215,00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154215,00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154215,00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154215,00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Собственное потребление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298,00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335,33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Потери в сетях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25368,00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22453,37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22453,37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22453,37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22453,37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22453,37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22453,37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22453,37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22453,37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22453,37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22453,37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22453,37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Отпуск потребителям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154547,00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131819,86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Отпуск</w:t>
            </w:r>
            <w:r>
              <w:rPr>
                <w:spacing w:val="-1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потребителям</w:t>
            </w:r>
            <w:r>
              <w:rPr>
                <w:spacing w:val="2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по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данным</w:t>
            </w:r>
            <w:r>
              <w:rPr>
                <w:spacing w:val="2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статистической</w:t>
            </w:r>
            <w:r>
              <w:rPr>
                <w:spacing w:val="2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отчетности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формы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46-</w:t>
            </w:r>
            <w:r>
              <w:rPr>
                <w:spacing w:val="25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ТЭ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"Сведения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</w:t>
            </w:r>
            <w:r>
              <w:rPr>
                <w:spacing w:val="2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полезном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отпуске</w:t>
            </w:r>
            <w:r>
              <w:rPr>
                <w:spacing w:val="2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тепловой</w:t>
            </w:r>
            <w:r>
              <w:rPr>
                <w:spacing w:val="-1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энергии"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Гкал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129267,41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131819,86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131761,63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ЕТО-2 ПАО «ТГК-1»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2183,13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1284,28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1294,28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1391,96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1391,96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1391,96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1391,96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1391,96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1391,96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1391,96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1391,96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1391,96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1391,96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367,51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41,68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41,68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48,04</w:t>
            </w:r>
            <w:bookmarkStart w:id="9" w:name="_GoBack"/>
            <w:r/>
            <w:bookmarkEnd w:id="9"/>
            <w:r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ЕТО-3 ООО «ПромВоенСтрой»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5328,23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5199,29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5367,00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5367,00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4732,29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7524,52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7543,55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7543,55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7342,43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7361,00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7361,00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6581,43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17103,28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17132,61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17132,61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16689,38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16718,00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16718,00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15589,00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15589,00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15589,00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15589,00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15589,00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15589,00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15589,00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15589,00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15589,00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2318,00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2318,00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2318,00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14371,38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14400,00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14400,00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14400,00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14400,00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14400,00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14400,00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14400,00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14400,00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14400,00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14400,00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14400,00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8050,73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8059,03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8059,03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7855,90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7864,00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7864,00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7658,00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7658,00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7658,00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7658,00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7658,00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7658,00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7658,00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7658,00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7658,00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7041,90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5277,16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5149,45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4760,45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4900,00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4579,00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4468,19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775,50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3692,69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3700,00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3700,00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3700,00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3700,00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3700,00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3700,00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3700,00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3700,00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3700,00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3700,00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3700,00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6315,12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6162,29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728,80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5433,49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№15)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4664,90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4552,01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4590,30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4590,30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4590,30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4590,30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4590,30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4590,30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4590,30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4590,30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4590,30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4590,30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4590,30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3911,71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6448,18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6292,13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712,40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5579,73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5600,00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ЕТО-4 ООО «Теплонорд»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2239,01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2093,01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873,63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1375,93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401,20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974,73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605,63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552,73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90"/>
        </w:trPr>
        <w:tc>
          <w:tcPr>
            <w:gridSpan w:val="14"/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ЕТО-5 ФГБУ «ЦЖКУ» МО РФ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1534,30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1305,20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№25/52 пгт.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№25)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№18/65 пгт.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№18)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1670,40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1385,10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№13/66 пгт.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№13)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№69/6 н.п.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Вайда-Губа (в.г. №69)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148,40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996,00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№38/86 пгт.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№38)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№21/90 пгт.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699,20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694,90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7201,50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266,50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6935,00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798,60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788,60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№12)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38,00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№25)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183,00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519,40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12,30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507,10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6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№42)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Отпуск ТЭ в сеть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66,80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Потери в сетях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1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Полезный отпуск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4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133,60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728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rPr>
          <w:rFonts w:cs="Times New Roman"/>
        </w:rPr>
        <w:sectPr>
          <w:footnotePr/>
          <w:endnotePr/>
          <w:type w:val="nextPage"/>
          <w:pgSz w:w="23811" w:h="16838" w:orient="landscape"/>
          <w:pgMar w:top="1134" w:right="850" w:bottom="1134" w:left="993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6" w:tooltip="file:///D:\Source\Ses\Docs\Оглавление%20том%202%20%20О.М..docx#bookmark5" w:anchor="bookmark5" w:history="1">
        <w:bookmarkStart w:id="10" w:name="_Toc30081807"/>
        <w:bookmarkStart w:id="11" w:name="_Toc30085041"/>
        <w:bookmarkStart w:id="12" w:name="_Toc32845307"/>
        <w:bookmarkStart w:id="13" w:name="_Toc204085690"/>
        <w:r>
          <w:t xml:space="preserve">Часть 2. ПРОГНОЗЫ ПРИРОСТОВ СТРОИТЕЛЬНЫХ ПЛОЩАДЕЙ ФОНДОВ,</w:t>
        </w:r>
      </w:hyperlink>
      <w:r>
        <w:t xml:space="preserve"> </w:t>
      </w:r>
      <w:hyperlink r:id="rId17" w:tooltip="file:///D:\Source\Ses\Docs\Оглавление%20том%202%20%20О.М..docx#bookmark5" w:anchor="bookmark5" w:history="1">
        <w:r>
          <w:t xml:space="preserve">СГРУПИРОВАННЫЕ ПО РАСЧЕТНЫМ ЭЛЕМЕНТАМ ТЕРРИТОРИАЛЬНОГО ДЕЛЕНИЯ</w:t>
        </w:r>
      </w:hyperlink>
      <w:r>
        <w:t xml:space="preserve"> </w:t>
      </w:r>
      <w:hyperlink r:id="rId18" w:tooltip="file:///D:\Source\Ses\Docs\Оглавление%20том%202%20%20О.М..docx#bookmark5" w:anchor="bookmark5" w:history="1">
        <w:r>
          <w:t xml:space="preserve">И ПО ЗОНАМ ДЕЙСТВИЯ ИСТОЧНИКОВ ТЕПЛОВОЙ ЭНЕРГИИ С РАЗДЕЛЕНИЕМ</w:t>
        </w:r>
      </w:hyperlink>
      <w:r>
        <w:t xml:space="preserve"> </w:t>
      </w:r>
      <w:hyperlink r:id="rId19" w:tooltip="file:///D:\Source\Ses\Docs\Оглавление%20том%202%20%20О.М..docx#bookmark5" w:anchor="bookmark5" w:history="1">
        <w:r>
          <w:t xml:space="preserve">ОБЪЕКТОВ СТРОИТЕЛЬСТВА НА МНОГКВАРТИРНЫЕ ДОМА, ИНДИВИДУАЛЬНЫЕ</w:t>
        </w:r>
      </w:hyperlink>
      <w:r>
        <w:t xml:space="preserve"> </w:t>
      </w:r>
      <w:hyperlink r:id="rId20" w:tooltip="file:///D:\Source\Ses\Docs\Оглавление%20том%202%20%20О.М..docx#bookmark5" w:anchor="bookmark5" w:history="1">
        <w:r>
          <w:t xml:space="preserve">ЖИЛЫЕ ДОМА, ОБЩЕСТВЕННЫЕ ЗДАНИЯ, ПРОИЗВОДСТВЕННЫЕ ЗДАНИЯ</w:t>
        </w:r>
      </w:hyperlink>
      <w:r>
        <w:t xml:space="preserve"> </w:t>
      </w:r>
      <w:hyperlink r:id="rId21" w:tooltip="file:///D:\Source\Ses\Docs\Оглавление%20том%202%20%20О.М..docx#bookmark5" w:anchor="bookmark5" w:history="1">
        <w:r>
          <w:t xml:space="preserve">ПРОМЫШЛЕННЫХ ПРЕДПРИЯТИЙ НА КАЖДОМ ЭТАПЕ</w:t>
        </w:r>
        <w:bookmarkEnd w:id="10"/>
        <w:bookmarkEnd w:id="11"/>
        <w:bookmarkEnd w:id="12"/>
        <w:bookmarkEnd w:id="13"/>
      </w:hyperlink>
      <w:r/>
      <w:r/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33"/>
        <w:ind w:firstLine="709"/>
        <w:jc w:val="both"/>
        <w:spacing w:line="276" w:lineRule="auto"/>
        <w:tabs>
          <w:tab w:val="clear" w:pos="4677" w:leader="none"/>
          <w:tab w:val="clear" w:pos="9355" w:leader="none"/>
        </w:tabs>
      </w:pPr>
      <w:r/>
      <w:bookmarkStart w:id="14" w:name="_Hlk174363350"/>
      <w:r>
        <w:t xml:space="preserve">Генеральный план муниципального образования Печенгский муниципальный округ Мурманской области утвержден приказом Министерством градостроительства и благоустройства Мурманской области от 26.12.2023 г. № 184.</w:t>
      </w:r>
      <w:r/>
    </w:p>
    <w:p>
      <w:pPr>
        <w:pStyle w:val="733"/>
        <w:ind w:firstLine="709"/>
        <w:jc w:val="both"/>
        <w:spacing w:line="276" w:lineRule="auto"/>
        <w:tabs>
          <w:tab w:val="clear" w:pos="4677" w:leader="none"/>
          <w:tab w:val="clear" w:pos="9355" w:leader="none"/>
        </w:tabs>
      </w:pPr>
      <w:r>
        <w:t xml:space="preserve">Генеральным плана предусмотрены следующие сроки его реализации: </w:t>
      </w:r>
      <w:r>
        <w:rPr>
          <w:shd w:val="clear" w:color="auto" w:fill="ffffff"/>
        </w:rPr>
        <w:t xml:space="preserve">первая очередь – 2030 г.; расчетный срок – 2043 г.</w:t>
      </w:r>
      <w:r/>
    </w:p>
    <w:p>
      <w:pPr>
        <w:pStyle w:val="733"/>
        <w:ind w:firstLine="709"/>
        <w:jc w:val="both"/>
        <w:spacing w:line="276" w:lineRule="auto"/>
        <w:tabs>
          <w:tab w:val="clear" w:pos="4677" w:leader="none"/>
          <w:tab w:val="clear" w:pos="9355" w:leader="none"/>
        </w:tabs>
      </w:pPr>
      <w:r/>
      <w:bookmarkStart w:id="15" w:name="_Hlk174363378"/>
      <w:r/>
      <w:bookmarkEnd w:id="14"/>
      <w:r>
        <w:t xml:space="preserve">Объекты, планируемые к размещению на территории Печенгского муниципального округа, согласно утвержденного ген. плана, представлены в таблице ниже.</w:t>
      </w:r>
      <w:bookmarkEnd w:id="15"/>
      <w:r/>
    </w:p>
    <w:p>
      <w:pPr>
        <w:pStyle w:val="733"/>
        <w:spacing w:line="276" w:lineRule="auto"/>
        <w:tabs>
          <w:tab w:val="clear" w:pos="4677" w:leader="none"/>
          <w:tab w:val="clear" w:pos="9355" w:leader="none"/>
        </w:tabs>
      </w:pPr>
      <w:r/>
      <w:r/>
    </w:p>
    <w:p>
      <w:pPr>
        <w:pStyle w:val="733"/>
        <w:spacing w:line="276" w:lineRule="auto"/>
        <w:tabs>
          <w:tab w:val="clear" w:pos="4677" w:leader="none"/>
          <w:tab w:val="clear" w:pos="9355" w:leader="none"/>
        </w:tabs>
        <w:rPr>
          <w:b/>
        </w:rPr>
      </w:pPr>
      <w:r/>
      <w:bookmarkStart w:id="16" w:name="_Hlk174363404"/>
      <w:r>
        <w:rPr>
          <w:b/>
        </w:rPr>
        <w:t xml:space="preserve">Таблица 1.2 - Объекты, планируемые к размещению на территории Печенгского муниципального округа, согласно утвержденного ген. плана</w:t>
      </w:r>
      <w:r>
        <w:rPr>
          <w:b/>
        </w:rPr>
      </w:r>
    </w:p>
    <w:tbl>
      <w:tblPr>
        <w:tblW w:w="9498" w:type="dxa"/>
        <w:tblInd w:w="-1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467"/>
        <w:gridCol w:w="2110"/>
        <w:gridCol w:w="2130"/>
        <w:gridCol w:w="1588"/>
        <w:gridCol w:w="1681"/>
        <w:gridCol w:w="1522"/>
      </w:tblGrid>
      <w:tr>
        <w:tblPrEx/>
        <w:trPr>
          <w:trHeight w:val="284"/>
          <w:tblHeader/>
        </w:trPr>
        <w:tc>
          <w:tcPr>
            <w:shd w:val="clear" w:color="000000" w:fill="f2f2f2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/>
            <w:bookmarkStart w:id="17" w:name="_Hlk174363446"/>
            <w:r/>
            <w:bookmarkEnd w:id="16"/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Наименование объекта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Вид объекта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Характеристика объекта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Мероприятие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Срок реализации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000000" w:fill="ddebf7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Поселок городского типа Никель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auto" w:fill="auto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Объекты социальной инфраструктуры</w:t>
            </w: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МБУК ДК «Восход»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Объект культурно-досугового (клубного) типа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900 мест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реконструкции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Спортивный зал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Спортивное сооружение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350 кв. м площади пола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Спортивный комплекс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Спортивное сооружение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2000 кв. 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Ледовый каток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Спортивное сооружение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2400 кв. 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auto" w:fill="auto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Объекты общественного пространства</w:t>
            </w: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Центральный парк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Парк культуры и отдыха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11 600 кв.м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Расчетный срок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Парк активного отдыха и экстремальных видов спорта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Парк активного отдыха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2 245 140 кв.м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Расчетный срок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000000" w:fill="ddebf7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Город Заполярный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auto" w:fill="auto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Объекты социальной инфраструктуры</w:t>
            </w: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МБУК ДК «Октябрь»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Объект культурно-досугового (клубного) типа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600 мест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реконструкции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Спортивный зал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Спортивное сооружение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350 кв. м площади пола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Стадион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Спортивное сооружение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 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реконструкции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000000" w:fill="ddebf7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Поселок городского типа Печенга, железнодорожная станция Печенга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auto" w:fill="auto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Объекты социальной инфраструктуры</w:t>
            </w: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Начальная школа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Общеобразовательная организация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250 мест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Физкультурно-оздоровительный комплекс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Объект спорта, включающий раздельно нормируемые спортивные сооружения (объекты) (в т.ч. физкультурно-оздоровительный комплекс)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350 кв. м площади пола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Строительство быстровозводимого бассейна в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Спортивное сооружение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ЕПС – 55 чел.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auto" w:fill="auto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Объекты инженерной инфраструктуры</w:t>
            </w: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000000" w:fill="ddebf7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Населенный пункт Лиинахамари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auto" w:fill="auto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Объекты социальной инфраструктуры</w:t>
            </w: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Дошкольная образовательная организация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Дошкольная образовательная организация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 мест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000000" w:fill="ddebf7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Населенный пункт Корзуново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gridSpan w:val="6"/>
            <w:shd w:val="clear" w:color="auto" w:fill="auto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Объекты социальной инфраструктуры</w:t>
            </w: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Дошкольная образовательная организация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Дошкольная образовательная организация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 мест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Спортивный зал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Спортивное сооружение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350 кв. м площади пола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очередь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W w:w="4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Спортивная площадка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Спортивное сооружение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1800 кв. 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Планируемый к размещению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Расчетный срок</w:t>
            </w:r>
            <w:bookmarkEnd w:id="17"/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pStyle w:val="733"/>
        <w:spacing w:line="276" w:lineRule="auto"/>
        <w:tabs>
          <w:tab w:val="clear" w:pos="4677" w:leader="none"/>
          <w:tab w:val="clear" w:pos="9355" w:leader="none"/>
        </w:tabs>
      </w:pPr>
      <w:r/>
      <w:r/>
    </w:p>
    <w:p>
      <w:pPr>
        <w:pStyle w:val="733"/>
        <w:ind w:firstLine="709"/>
        <w:jc w:val="both"/>
        <w:spacing w:line="276" w:lineRule="auto"/>
        <w:tabs>
          <w:tab w:val="clear" w:pos="4677" w:leader="none"/>
          <w:tab w:val="clear" w:pos="9355" w:leader="none"/>
        </w:tabs>
      </w:pPr>
      <w:r>
        <w:t xml:space="preserve">На момент актуализации Схемы теплоснабжения согласно данных Администрации муниципального образования, в 2025 г. планируется ввести в эксплуатация м</w:t>
      </w:r>
      <w:r>
        <w:rPr>
          <w:rFonts w:eastAsia="Times New Roman"/>
        </w:rPr>
        <w:t xml:space="preserve">ногоквартирный 5-ти этажный дом, площадью 5994,3 кв.м, расположенный по адресу г. Заполярный, ул. Ленинградская и подключить данный объект к централизованной системе теплоснабжения котельной г. Заполярный (АО «МЭС»).</w:t>
      </w:r>
      <w:r/>
    </w:p>
    <w:p>
      <w:pPr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pStyle w:val="717"/>
        <w:ind w:left="0" w:firstLine="0"/>
      </w:pPr>
      <w:r/>
      <w:hyperlink r:id="rId22" w:tooltip="file:///D:\Source\Ses\Docs\Оглавление%20том%202%20%20О.М..docx#bookmark9" w:anchor="bookmark9" w:history="1">
        <w:bookmarkStart w:id="18" w:name="_Toc204085691"/>
        <w:r>
          <w:t xml:space="preserve">Часть 3. 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</w:t>
        </w:r>
      </w:hyperlink>
      <w:r>
        <w:t xml:space="preserve">СТАНАВЛИВАЕМЫХ В СООТВЕТСТВИИ С ЗАКОНОДАТЕЛЬСТВОМ РОССИЙСКОЙ ФЕДЕРАЦИИ</w:t>
      </w:r>
      <w:bookmarkEnd w:id="18"/>
      <w:r>
        <w:t xml:space="preserve"> </w:t>
      </w:r>
      <w:r/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Прогноз перспективных удельных расходов тепловой энергии на отопление, вентиляцию выполнен с учётом требований к энергетической эффективности объектов теплопотребления, устанавливаемых в соответствии с законодательством Российской Федерации. </w:t>
      </w:r>
      <w:r>
        <w:rPr>
          <w:rFonts w:eastAsia="Times New Roman" w:cs="Times New Roman"/>
          <w:szCs w:val="24"/>
          <w:lang w:eastAsia="ru-RU"/>
        </w:rPr>
      </w:r>
    </w:p>
    <w:p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szCs w:val="24"/>
        </w:rPr>
        <w:t xml:space="preserve">Показателем расхода тепловой энергии на отопление и вентиляцию жилого или общественного здания, является удельная характеристика расхода тепловой энергии на отопление и вентиляцию здания численно равная расходу тепловой энергии на </w:t>
      </w:r>
      <w:r>
        <w:rPr>
          <w:rFonts w:cs="Times New Roman"/>
          <w:szCs w:val="24"/>
        </w:rPr>
        <w:t xml:space="preserve">1 м</w:t>
      </w:r>
      <w:r>
        <w:rPr>
          <w:rFonts w:cs="Times New Roman"/>
          <w:szCs w:val="24"/>
          <w:vertAlign w:val="superscript"/>
        </w:rPr>
        <w:t xml:space="preserve">3</w:t>
      </w:r>
      <w:r>
        <w:rPr>
          <w:rFonts w:cs="Times New Roman"/>
          <w:szCs w:val="24"/>
        </w:rPr>
        <w:t xml:space="preserve"> отапливаемого объёма здания в единицу времени при перепаде температуры в один градус.</w:t>
      </w:r>
      <w:r>
        <w:rPr>
          <w:rFonts w:cs="Times New Roman"/>
          <w:szCs w:val="24"/>
        </w:rPr>
        <w:t xml:space="preserve"> Расчётное значение удельной характеристики расхода тепловой энергии на отопление и вентиляцию здания определяется с учётом климатических условий района строительства, выбранных объёмно-планировочных решений, ориентации здания, теплозащитных свойств огражд</w:t>
      </w:r>
      <w:r>
        <w:rPr>
          <w:rFonts w:cs="Times New Roman"/>
          <w:szCs w:val="24"/>
        </w:rPr>
        <w:t xml:space="preserve">ающих конструкций, принятой системы вентиляции здания, а также применения энергосберегающих технологий. Расчётное значение удельной характеристики расхода тепловой энергии на отопление и вентиляцию здания должно быть меньше или равно нормируемому значению.</w:t>
      </w:r>
      <w:r>
        <w:rPr>
          <w:rFonts w:eastAsia="Times New Roman" w:cs="Times New Roman"/>
          <w:szCs w:val="24"/>
          <w:lang w:eastAsia="ru-RU"/>
        </w:rPr>
      </w:r>
    </w:p>
    <w:p>
      <w:pPr>
        <w:ind w:firstLine="709"/>
        <w:jc w:val="both"/>
        <w:rPr>
          <w:rFonts w:cs="Times New Roman"/>
          <w:b/>
          <w:szCs w:val="24"/>
        </w:rPr>
      </w:pPr>
      <w:r>
        <w:rPr>
          <w:rFonts w:eastAsia="Times New Roman" w:cs="Times New Roman"/>
          <w:szCs w:val="24"/>
          <w:lang w:eastAsia="ru-RU"/>
        </w:rPr>
        <w:t xml:space="preserve">Прогнозные перспективные удельные расходы тепловой энергии на отопление, вентиляцию приняты в соответствии с СП 50.13330.2012 </w:t>
      </w:r>
      <w:r>
        <w:rPr>
          <w:rFonts w:cs="Times New Roman"/>
          <w:szCs w:val="24"/>
        </w:rPr>
        <w:t xml:space="preserve">«Тепловая защита зданий»</w:t>
      </w:r>
      <w:r>
        <w:rPr>
          <w:rFonts w:eastAsia="Times New Roman" w:cs="Times New Roman"/>
          <w:szCs w:val="24"/>
          <w:lang w:eastAsia="ru-RU"/>
        </w:rPr>
        <w:t xml:space="preserve"> и приведены в таблицах 2.3.1 и 2.3.2. </w:t>
      </w:r>
      <w:r>
        <w:rPr>
          <w:rFonts w:cs="Times New Roman"/>
          <w:b/>
          <w:szCs w:val="24"/>
        </w:rPr>
      </w:r>
    </w:p>
    <w:p>
      <w:pPr>
        <w:spacing w:before="24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Таблица 2.3.1 - </w:t>
      </w:r>
      <w:r>
        <w:rPr>
          <w:rFonts w:eastAsia="Times New Roman" w:cs="Times New Roman"/>
          <w:b/>
          <w:szCs w:val="24"/>
          <w:lang w:eastAsia="ru-RU"/>
        </w:rPr>
        <w:t xml:space="preserve">Нормируемый удельный расход тепловой энергии на отопление жилых зданий, Вт/(м</w:t>
      </w:r>
      <w:r>
        <w:rPr>
          <w:rFonts w:eastAsia="Times New Roman" w:cs="Times New Roman"/>
          <w:b/>
          <w:szCs w:val="24"/>
          <w:vertAlign w:val="superscript"/>
          <w:lang w:eastAsia="ru-RU"/>
        </w:rPr>
        <w:t xml:space="preserve">3</w:t>
      </w:r>
      <w:r>
        <w:rPr>
          <w:rFonts w:eastAsia="Times New Roman" w:cs="Times New Roman"/>
          <w:b/>
          <w:szCs w:val="24"/>
          <w:lang w:eastAsia="ru-RU"/>
        </w:rPr>
        <w:t xml:space="preserve">·°С·сут)</w:t>
      </w:r>
      <w:r>
        <w:rPr>
          <w:rFonts w:cs="Times New Roman"/>
          <w:b/>
          <w:szCs w:val="24"/>
        </w:rPr>
      </w:r>
    </w:p>
    <w:tbl>
      <w:tblPr>
        <w:tblW w:w="922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696"/>
        <w:gridCol w:w="1372"/>
        <w:gridCol w:w="1356"/>
        <w:gridCol w:w="1398"/>
        <w:gridCol w:w="1406"/>
      </w:tblGrid>
      <w:tr>
        <w:tblPrEx/>
        <w:trPr>
          <w:trHeight w:val="280"/>
        </w:trPr>
        <w:tc>
          <w:tcPr>
            <w:shd w:val="clear" w:color="auto" w:fill="f2f2f2" w:themeFill="background1" w:themeFillShade="F2"/>
            <w:tcW w:w="3696" w:type="dxa"/>
            <w:vMerge w:val="restart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здания, </w:t>
            </w:r>
            <w:r>
              <w:rPr>
                <w:rFonts w:ascii="Times New Roman" w:hAnsi="Times New Roman" w:cs="Times New Roman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0975" cy="212725"/>
                      <wp:effectExtent l="0" t="0" r="9525" b="0"/>
                      <wp:docPr id="2" name="Рисунок 36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366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0975" cy="212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4.25pt;height:16.75pt;mso-wrap-distance-left:0.00pt;mso-wrap-distance-top:0.00pt;mso-wrap-distance-right:0.00pt;mso-wrap-distance-bottom:0.00pt;" stroked="f">
                      <v:path textboxrect="0,0,0,0"/>
                      <v:imagedata r:id="rId23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auto" w:fill="f2f2f2" w:themeFill="background1" w:themeFillShade="F2"/>
            <w:tcW w:w="5532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числом этажей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5"/>
        </w:trPr>
        <w:tc>
          <w:tcPr>
            <w:shd w:val="clear" w:color="auto" w:fill="f2f2f2" w:themeFill="background1" w:themeFillShade="F2"/>
            <w:tcW w:w="3696" w:type="dxa"/>
            <w:vMerge w:val="continue"/>
            <w:textDirection w:val="lrTb"/>
            <w:noWrap w:val="false"/>
          </w:tcPr>
          <w:p>
            <w:pPr>
              <w:pStyle w:val="34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2f2f2" w:themeFill="background1" w:themeFillShade="F2"/>
            <w:tcW w:w="1372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2f2f2" w:themeFill="background1" w:themeFillShade="F2"/>
            <w:tcW w:w="1356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2f2f2" w:themeFill="background1" w:themeFillShade="F2"/>
            <w:tcW w:w="1398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2f2f2" w:themeFill="background1" w:themeFillShade="F2"/>
            <w:tcW w:w="1405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9"/>
        </w:trPr>
        <w:tc>
          <w:tcPr>
            <w:tcW w:w="3696" w:type="dxa"/>
            <w:textDirection w:val="lrTb"/>
            <w:noWrap w:val="false"/>
          </w:tcPr>
          <w:p>
            <w:pPr>
              <w:pStyle w:val="3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2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0,579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98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05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80"/>
        </w:trPr>
        <w:tc>
          <w:tcPr>
            <w:tcW w:w="3696" w:type="dxa"/>
            <w:textDirection w:val="lrTb"/>
            <w:noWrap w:val="false"/>
          </w:tcPr>
          <w:p>
            <w:pPr>
              <w:pStyle w:val="3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2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0,517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0,558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98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05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80"/>
        </w:trPr>
        <w:tc>
          <w:tcPr>
            <w:tcW w:w="3696" w:type="dxa"/>
            <w:textDirection w:val="lrTb"/>
            <w:noWrap w:val="false"/>
          </w:tcPr>
          <w:p>
            <w:pPr>
              <w:pStyle w:val="3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2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98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0,538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05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80"/>
        </w:trPr>
        <w:tc>
          <w:tcPr>
            <w:tcW w:w="3696" w:type="dxa"/>
            <w:textDirection w:val="lrTb"/>
            <w:noWrap w:val="false"/>
          </w:tcPr>
          <w:p>
            <w:pPr>
              <w:pStyle w:val="3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2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0,434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98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05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0,476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80"/>
        </w:trPr>
        <w:tc>
          <w:tcPr>
            <w:tcW w:w="3696" w:type="dxa"/>
            <w:textDirection w:val="lrTb"/>
            <w:noWrap w:val="false"/>
          </w:tcPr>
          <w:p>
            <w:pPr>
              <w:pStyle w:val="3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2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98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0,393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05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0,414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9"/>
        </w:trPr>
        <w:tc>
          <w:tcPr>
            <w:tcW w:w="3696" w:type="dxa"/>
            <w:textDirection w:val="lrTb"/>
            <w:noWrap w:val="false"/>
          </w:tcPr>
          <w:p>
            <w:pPr>
              <w:pStyle w:val="3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2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98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05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0,372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02"/>
        </w:trPr>
        <w:tc>
          <w:tcPr>
            <w:tcW w:w="3696" w:type="dxa"/>
            <w:textDirection w:val="lrTb"/>
            <w:noWrap w:val="false"/>
          </w:tcPr>
          <w:p>
            <w:pPr>
              <w:pStyle w:val="3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и более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2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98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05" w:type="dxa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0,336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rFonts w:cs="Times New Roman"/>
          <w:b/>
        </w:rPr>
      </w:pPr>
      <w:r>
        <w:rPr>
          <w:rFonts w:cs="Times New Roman"/>
          <w:b/>
        </w:rPr>
      </w:r>
      <w:r>
        <w:rPr>
          <w:rFonts w:cs="Times New Roman"/>
          <w:b/>
        </w:rPr>
      </w:r>
    </w:p>
    <w:p>
      <w:pPr>
        <w:rPr>
          <w:rFonts w:cs="Times New Roman"/>
          <w:b/>
        </w:rPr>
      </w:pPr>
      <w:r>
        <w:rPr>
          <w:rFonts w:cs="Times New Roman"/>
          <w:b/>
          <w:szCs w:val="25"/>
        </w:rPr>
        <w:t xml:space="preserve">2.3.2 - </w:t>
      </w:r>
      <w:r>
        <w:rPr>
          <w:rFonts w:eastAsia="Times New Roman" w:cs="Times New Roman"/>
          <w:b/>
          <w:szCs w:val="24"/>
          <w:lang w:eastAsia="ru-RU"/>
        </w:rPr>
        <w:t xml:space="preserve">Нормируемая (базовая) удельная характеристика расхода тепловой энергии на отопление и вентиляцию общественных зданий, Вт/(м</w:t>
      </w:r>
      <w:r>
        <w:rPr>
          <w:rFonts w:eastAsia="Times New Roman" w:cs="Times New Roman"/>
          <w:b/>
          <w:szCs w:val="24"/>
          <w:vertAlign w:val="superscript"/>
          <w:lang w:eastAsia="ru-RU"/>
        </w:rPr>
        <w:t xml:space="preserve">3</w:t>
      </w:r>
      <w:r>
        <w:rPr>
          <w:rFonts w:eastAsia="Times New Roman" w:cs="Times New Roman"/>
          <w:b/>
          <w:szCs w:val="24"/>
          <w:lang w:eastAsia="ru-RU"/>
        </w:rPr>
        <w:t xml:space="preserve">·°С·сут)</w:t>
      </w:r>
      <w:r>
        <w:rPr>
          <w:rFonts w:cs="Times New Roman"/>
          <w:b/>
        </w:rPr>
      </w:r>
    </w:p>
    <w:tbl>
      <w:tblPr>
        <w:tblW w:w="936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801"/>
        <w:gridCol w:w="851"/>
        <w:gridCol w:w="850"/>
        <w:gridCol w:w="758"/>
        <w:gridCol w:w="834"/>
        <w:gridCol w:w="850"/>
        <w:gridCol w:w="779"/>
        <w:gridCol w:w="949"/>
      </w:tblGrid>
      <w:tr>
        <w:tblPrEx/>
        <w:trPr>
          <w:tblHeader/>
        </w:trPr>
        <w:tc>
          <w:tcPr>
            <w:shd w:val="clear" w:color="auto" w:fill="f2f2f2" w:themeFill="background1" w:themeFillShade="F2"/>
            <w:tcBorders>
              <w:top w:val="single" w:color="auto" w:sz="4" w:space="0"/>
              <w:bottom w:val="none" w:color="000000" w:sz="4" w:space="0"/>
              <w:right w:val="single" w:color="auto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Тип здания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8"/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72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Этажность здания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blPrEx/>
        <w:trPr>
          <w:trHeight w:val="677"/>
          <w:tblHeader/>
        </w:trPr>
        <w:tc>
          <w:tcPr>
            <w:shd w:val="clear" w:color="auto" w:fill="f2f2f2" w:themeFill="background1" w:themeFillShade="F2"/>
            <w:tcBorders>
              <w:top w:val="none" w:color="000000" w:sz="4" w:space="0"/>
              <w:bottom w:val="single" w:color="auto" w:sz="4" w:space="0"/>
              <w:right w:val="single" w:color="auto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4, 5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6, 7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8, 9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10, 11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4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12 и выше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blPrEx/>
        <w:trPr>
          <w:trHeight w:val="701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3459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1 Жилые многоквартирные, гостиницы, общежития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0,455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0,414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0,372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0,359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0,336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0,319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0,301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4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0,290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blPrEx/>
        <w:trPr>
          <w:trHeight w:val="681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3459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2 Общественные, кроме перечисленных в строках 3-6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0,487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0,440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0,417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0,371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0,359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0,342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0,324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4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0,311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3459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3 Поликлиники и лечебные учреждения, дома-интернаты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0,394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0,382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0,371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0,359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0,348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0,336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0,324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4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0,311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blPrEx/>
        <w:trPr>
          <w:trHeight w:val="681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3459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4 Дошкольные учреждения, хосписы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0,521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0,521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0,521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4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blPrEx/>
        <w:trPr>
          <w:trHeight w:val="1272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3459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5 Сервисного обслуживания, культурно-досуговой деятельности, технопарки, склады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0,266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0,255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0,243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0,232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0,232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4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blPrEx/>
        <w:trPr>
          <w:trHeight w:val="695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3459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6 Административного назначения (офисы)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0,417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0,394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0,382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0,313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4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0,278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0,255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0,232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49" w:type="dxa"/>
            <w:vAlign w:val="center"/>
            <w:textDirection w:val="lrTb"/>
            <w:noWrap w:val="false"/>
          </w:tcPr>
          <w:p>
            <w:pPr>
              <w:pStyle w:val="3458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0,232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</w:tbl>
    <w:p>
      <w:pPr>
        <w:jc w:val="right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Удельные укрупнённые показатели расхода теплоты ГВС в соответствии с СП 124.13330.2012 Тепловые сети (Актуализированная редакция СниП 41-02-2003) на основании климатических особенностей рассматриваемого региона приведены в таблице ниже.</w:t>
      </w:r>
      <w:r>
        <w:rPr>
          <w:rFonts w:cs="Times New Roman"/>
        </w:rPr>
      </w:r>
    </w:p>
    <w:p>
      <w:pPr>
        <w:rPr>
          <w:rFonts w:cs="Times New Roman"/>
          <w:b/>
          <w:szCs w:val="25"/>
        </w:rPr>
      </w:pPr>
      <w:r>
        <w:rPr>
          <w:rFonts w:cs="Times New Roman"/>
          <w:b/>
          <w:szCs w:val="25"/>
        </w:rPr>
      </w:r>
      <w:r>
        <w:rPr>
          <w:rFonts w:cs="Times New Roman"/>
          <w:b/>
          <w:szCs w:val="25"/>
        </w:rPr>
      </w:r>
    </w:p>
    <w:p>
      <w:pPr>
        <w:rPr>
          <w:rFonts w:cs="Times New Roman"/>
          <w:b/>
          <w:szCs w:val="25"/>
        </w:rPr>
      </w:pPr>
      <w:r>
        <w:rPr>
          <w:rFonts w:cs="Times New Roman"/>
          <w:b/>
          <w:szCs w:val="25"/>
        </w:rPr>
      </w:r>
      <w:r>
        <w:rPr>
          <w:rFonts w:cs="Times New Roman"/>
          <w:b/>
          <w:szCs w:val="25"/>
        </w:rPr>
      </w:r>
    </w:p>
    <w:p>
      <w:pPr>
        <w:rPr>
          <w:rFonts w:cs="Times New Roman"/>
          <w:b/>
          <w:szCs w:val="25"/>
        </w:rPr>
      </w:pPr>
      <w:r>
        <w:rPr>
          <w:rFonts w:cs="Times New Roman"/>
          <w:b/>
          <w:szCs w:val="25"/>
        </w:rPr>
      </w:r>
      <w:r>
        <w:rPr>
          <w:rFonts w:cs="Times New Roman"/>
          <w:b/>
          <w:szCs w:val="25"/>
        </w:rPr>
      </w:r>
    </w:p>
    <w:p>
      <w:pPr>
        <w:rPr>
          <w:rFonts w:cs="Times New Roman"/>
          <w:b/>
          <w:szCs w:val="25"/>
        </w:rPr>
      </w:pPr>
      <w:r>
        <w:rPr>
          <w:rFonts w:cs="Times New Roman"/>
          <w:b/>
          <w:szCs w:val="25"/>
        </w:rPr>
      </w:r>
      <w:r>
        <w:rPr>
          <w:rFonts w:cs="Times New Roman"/>
          <w:b/>
          <w:szCs w:val="25"/>
        </w:rPr>
      </w:r>
    </w:p>
    <w:p>
      <w:pPr>
        <w:rPr>
          <w:rFonts w:cs="Times New Roman"/>
          <w:b/>
        </w:rPr>
      </w:pPr>
      <w:r>
        <w:rPr>
          <w:rFonts w:cs="Times New Roman"/>
          <w:b/>
          <w:szCs w:val="25"/>
        </w:rPr>
        <w:t xml:space="preserve">Таблица 2.3.3 - </w:t>
      </w:r>
      <w:r>
        <w:rPr>
          <w:rFonts w:cs="Times New Roman"/>
          <w:b/>
        </w:rPr>
        <w:t xml:space="preserve">Нормы расхода горячей воды потребителями и удельная часовая величина теплоты на ее нагрев</w:t>
      </w:r>
      <w:r>
        <w:rPr>
          <w:rFonts w:cs="Times New Roman"/>
          <w:b/>
        </w:rPr>
      </w:r>
    </w:p>
    <w:tbl>
      <w:tblPr>
        <w:tblW w:w="5251" w:type="pct"/>
        <w:jc w:val="center"/>
        <w:tblLook w:val="04A0" w:firstRow="1" w:lastRow="0" w:firstColumn="1" w:lastColumn="0" w:noHBand="0" w:noVBand="1"/>
      </w:tblPr>
      <w:tblGrid>
        <w:gridCol w:w="3865"/>
        <w:gridCol w:w="1478"/>
        <w:gridCol w:w="1274"/>
        <w:gridCol w:w="1772"/>
        <w:gridCol w:w="1425"/>
      </w:tblGrid>
      <w:tr>
        <w:tblPrEx/>
        <w:trPr>
          <w:jc w:val="center"/>
          <w:trHeight w:val="300"/>
          <w:tblHeader/>
        </w:trPr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Потребители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Измеритель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Норма расхода горячей воды, л/сут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Норма общей/полезной площади на 1 измеритель, м</w:t>
            </w:r>
            <w:r>
              <w:rPr>
                <w:rFonts w:cs="Times New Roman"/>
                <w:iCs/>
                <w:sz w:val="20"/>
                <w:szCs w:val="20"/>
                <w:vertAlign w:val="superscript"/>
              </w:rPr>
              <w:t xml:space="preserve">2</w:t>
            </w:r>
            <w:r>
              <w:rPr>
                <w:rFonts w:cs="Times New Roman"/>
                <w:iCs/>
                <w:sz w:val="20"/>
                <w:szCs w:val="20"/>
              </w:rPr>
              <w:t xml:space="preserve">/чел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Удельная величина тепловой энергии, Вт/м</w:t>
            </w:r>
            <w:r>
              <w:rPr>
                <w:rFonts w:cs="Times New Roman"/>
                <w:iCs/>
                <w:sz w:val="20"/>
                <w:szCs w:val="20"/>
                <w:vertAlign w:val="superscript"/>
              </w:rPr>
              <w:t xml:space="preserve">2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84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pStyle w:val="924"/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1. Жилые дома независимо от этажности, оборудованные умывальниками, мойками и ваннами, с квартирными регуляторами давления</w:t>
            </w:r>
            <w:r>
              <w:rPr>
                <w:rFonts w:ascii="Times New Roman" w:hAnsi="Times New Roman" w:cs="Times New Roman"/>
                <w:iCs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житель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105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25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12,2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То же, с заселённостью 20 м</w:t>
            </w:r>
            <w:r>
              <w:rPr>
                <w:rFonts w:cs="Times New Roman"/>
                <w:iCs/>
                <w:sz w:val="20"/>
                <w:szCs w:val="20"/>
                <w:vertAlign w:val="superscript"/>
              </w:rPr>
              <w:t xml:space="preserve">2</w:t>
            </w:r>
            <w:r>
              <w:rPr>
                <w:rFonts w:cs="Times New Roman"/>
                <w:iCs/>
                <w:sz w:val="20"/>
                <w:szCs w:val="20"/>
              </w:rPr>
              <w:t xml:space="preserve">/чел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житель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105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20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15,3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64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pStyle w:val="3455"/>
              <w:widowControl/>
              <w:rPr>
                <w:rFonts w:ascii="Times New Roman" w:hAnsi="Times New Roman" w:cs="Times New Roman" w:eastAsiaTheme="minorHAnsi"/>
                <w:iCs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lang w:eastAsia="en-US"/>
              </w:rPr>
              <w:t xml:space="preserve">2. То же, с умывальниками, мойками и душевыми</w:t>
            </w:r>
            <w:r>
              <w:rPr>
                <w:rFonts w:ascii="Times New Roman" w:hAnsi="Times New Roman" w:cs="Times New Roman" w:eastAsiaTheme="minorHAnsi"/>
                <w:iCs/>
                <w:lang w:eastAsia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житель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85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18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13,8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69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3. Гостиницы и пансионаты с душами во всех отдельных номерах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проживающий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70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12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17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74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4. Больницы с санитарными узлами, приближенными к палатам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больной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90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15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17,5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70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5. Поликлиники и амбулатории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больной в смену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5,2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13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1,5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6. Детские ясли и сады с дневным пребыванием детей и столовыми на полуфабрикатах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ребёнок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11,5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10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3,1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4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7. Административные здания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работающий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5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10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1,3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9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8. Общеобразовательные школы с душевыми при гимнастических залах и столовыми на полуфабрикатах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учащийся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3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10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0,8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57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9. Физкультурно-оздоровительные комплексы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человек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30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5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17,5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93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10. Предприятия общественного питания для приготовления пищи реализуемой в обеденном зале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посетитель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12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10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3,2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54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11. Магазины продовольственные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 работающий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12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30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1,1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  <w:tr>
        <w:tblPrEx/>
        <w:trPr>
          <w:jc w:val="center"/>
          <w:trHeight w:val="54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vAlign w:val="center"/>
            <w:textDirection w:val="lrTb"/>
            <w:noWrap w:val="false"/>
          </w:tcPr>
          <w:p>
            <w:pPr>
              <w:pStyle w:val="3455"/>
              <w:widowControl/>
              <w:rPr>
                <w:rFonts w:ascii="Times New Roman" w:hAnsi="Times New Roman" w:cs="Times New Roman" w:eastAsiaTheme="minorHAnsi"/>
                <w:iCs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lang w:eastAsia="en-US"/>
              </w:rPr>
              <w:t xml:space="preserve">12. Магазины промтоварные</w:t>
            </w:r>
            <w:r>
              <w:rPr>
                <w:rFonts w:ascii="Times New Roman" w:hAnsi="Times New Roman" w:cs="Times New Roman" w:eastAsiaTheme="minorHAnsi"/>
                <w:iCs/>
                <w:lang w:eastAsia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То же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8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30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iCs/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0,7</w:t>
            </w:r>
            <w:r>
              <w:rPr>
                <w:rFonts w:cs="Times New Roman"/>
                <w:iCs/>
                <w:sz w:val="20"/>
                <w:szCs w:val="20"/>
              </w:rPr>
            </w:r>
          </w:p>
        </w:tc>
      </w:tr>
    </w:tbl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3456"/>
        <w:spacing w:line="276" w:lineRule="auto"/>
        <w:rPr>
          <w:sz w:val="24"/>
        </w:rPr>
      </w:pPr>
      <w:r>
        <w:rPr>
          <w:sz w:val="24"/>
        </w:rPr>
        <w:t xml:space="preserve">1. Нормы расхода воды установлены для основных потребителей и включают все дополнительные расходы (обслуживающим персоналом, душевыми для обслуживания персонала, посетителями, на уборку помещений и т.п.).</w:t>
      </w:r>
      <w:r>
        <w:rPr>
          <w:sz w:val="24"/>
        </w:rPr>
      </w:r>
    </w:p>
    <w:p>
      <w:pPr>
        <w:pStyle w:val="3456"/>
        <w:spacing w:line="276" w:lineRule="auto"/>
        <w:rPr>
          <w:sz w:val="24"/>
        </w:rPr>
      </w:pPr>
      <w:r>
        <w:rPr>
          <w:sz w:val="24"/>
        </w:rPr>
        <w:t xml:space="preserve">2. Для водопотребителей гражданских зданий, сооружений и помещений, не указанных в настоящей таблице, нормы расхода воды следует принимать согласно СП 124.13330.2012 для потребителей, аналогичных по характеру водопотребления.</w:t>
      </w:r>
      <w:r>
        <w:rPr>
          <w:sz w:val="24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rPr>
          <w:rFonts w:cs="Times New Roman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24" w:tooltip="file:///D:\Source\Ses\Docs\Оглавление%20том%202%20%20О.М..docx#bookmark9" w:anchor="bookmark9" w:history="1">
        <w:bookmarkStart w:id="19" w:name="_Toc30085045"/>
        <w:bookmarkStart w:id="20" w:name="_Toc32845311"/>
        <w:bookmarkStart w:id="21" w:name="_Toc204085692"/>
        <w:r>
          <w:t xml:space="preserve">Часть 4. ПРОГНОЗЫ ПРИРОСТОВ ОБЪЕМОВ ПОТРЕБЛЕНИЯ ТЕПЛОВОЙ ЭНЕРГИИ</w:t>
        </w:r>
      </w:hyperlink>
      <w:r>
        <w:t xml:space="preserve"> </w:t>
      </w:r>
      <w:hyperlink r:id="rId25" w:tooltip="file:///D:\Source\Ses\Docs\Оглавление%20том%202%20%20О.М..docx#bookmark9" w:anchor="bookmark9" w:history="1">
        <w:r>
          <w:t xml:space="preserve">(МОЩНОСТИ) И ТЕПЛОНОСИТЕЛЯ С РАЗДЕЛЕНИЕМ ПО ВИДАМ</w:t>
        </w:r>
      </w:hyperlink>
      <w:r>
        <w:t xml:space="preserve"> </w:t>
      </w:r>
      <w:hyperlink r:id="rId26" w:tooltip="file:///D:\Source\Ses\Docs\Оглавление%20том%202%20%20О.М..docx#bookmark9" w:anchor="bookmark9" w:history="1">
        <w:r>
          <w:t xml:space="preserve">ТЕПЛОПОТРЕБЛЕНИЯ В КАЖДОМ РАСЧЕТНОМ ЭЛЕМЕНТЕ ТЕРРИТОРИАЛЬНОГО</w:t>
        </w:r>
      </w:hyperlink>
      <w:r>
        <w:t xml:space="preserve"> </w:t>
      </w:r>
      <w:hyperlink r:id="rId27" w:tooltip="file:///D:\Source\Ses\Docs\Оглавление%20том%202%20%20О.М..docx#bookmark9" w:anchor="bookmark9" w:history="1">
        <w:r>
          <w:t xml:space="preserve">ДЕЛЕНИЯ И В ЗОНЕ ДЕЙСТВИЯ КАЖДОГО ИЗ СУЩЕСТВУЮЩИХ ИЛИ</w:t>
        </w:r>
      </w:hyperlink>
      <w:r>
        <w:t xml:space="preserve"> </w:t>
      </w:r>
      <w:hyperlink r:id="rId28" w:tooltip="file:///D:\Source\Ses\Docs\Оглавление%20том%202%20%20О.М..docx#bookmark9" w:anchor="bookmark9" w:history="1">
        <w:r>
          <w:t xml:space="preserve">ПРЕДЛАГАЕМЫХ ДЛЯ СТРОИТЕЛЬСТВА ИСТОЧНИКОВ ТЕПЛОВОЙ ЭНЕРГИИ НА</w:t>
        </w:r>
      </w:hyperlink>
      <w:r>
        <w:t xml:space="preserve"> </w:t>
      </w:r>
      <w:hyperlink r:id="rId29" w:tooltip="file:///D:\Source\Ses\Docs\Оглавление%20том%202%20%20О.М..docx#bookmark9" w:anchor="bookmark9" w:history="1">
        <w:r>
          <w:t xml:space="preserve">КАЖДОМ ЭТАПЕ</w:t>
        </w:r>
        <w:bookmarkEnd w:id="19"/>
        <w:bookmarkEnd w:id="20"/>
        <w:bookmarkEnd w:id="21"/>
      </w:hyperlink>
      <w:r/>
      <w:r/>
    </w:p>
    <w:p>
      <w:pPr>
        <w:pStyle w:val="728"/>
        <w:ind w:firstLine="142"/>
        <w:jc w:val="center"/>
        <w:rPr>
          <w:rFonts w:cs="Times New Roman"/>
          <w:lang w:eastAsia="ru-RU"/>
        </w:rPr>
      </w:pPr>
      <w:r/>
      <w:bookmarkStart w:id="22" w:name="OLE_LINK1"/>
      <w:r/>
      <w:bookmarkStart w:id="23" w:name="OLE_LINK2"/>
      <w:r/>
      <w:bookmarkStart w:id="24" w:name="OLE_LINK3"/>
      <w:r/>
      <w:bookmarkEnd w:id="22"/>
      <w:r/>
      <w:bookmarkEnd w:id="23"/>
      <w:r/>
      <w:bookmarkEnd w:id="24"/>
      <w:r/>
      <w:r>
        <w:rPr>
          <w:rFonts w:cs="Times New Roman"/>
          <w:lang w:eastAsia="ru-RU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2.4.2 - Расчетный прирост тепловой нагрузки</w:t>
      </w:r>
      <w:r>
        <w:rPr>
          <w:rFonts w:cs="Times New Roman"/>
        </w:rPr>
      </w:r>
    </w:p>
    <w:tbl>
      <w:tblPr>
        <w:tblStyle w:val="729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3979"/>
        <w:gridCol w:w="3978"/>
        <w:gridCol w:w="1503"/>
        <w:gridCol w:w="1349"/>
        <w:gridCol w:w="1459"/>
        <w:gridCol w:w="887"/>
        <w:gridCol w:w="887"/>
        <w:gridCol w:w="1683"/>
      </w:tblGrid>
      <w:tr>
        <w:tblPrEx/>
        <w:trPr>
          <w:jc w:val="center"/>
          <w:tblHeader/>
        </w:trPr>
        <w:tc>
          <w:tcPr>
            <w:shd w:val="clear" w:color="auto" w:fill="f2f2f2"/>
            <w:tcMar>
              <w:left w:w="100" w:type="dxa"/>
              <w:top w:w="120" w:type="dxa"/>
              <w:right w:w="100" w:type="dxa"/>
              <w:bottom w:w="120" w:type="dxa"/>
            </w:tcMar>
            <w:tcW w:w="126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Источник тепловой энергии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120" w:type="dxa"/>
              <w:right w:w="100" w:type="dxa"/>
              <w:bottom w:w="120" w:type="dxa"/>
            </w:tcMar>
            <w:tcW w:w="126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Наименование объекта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120" w:type="dxa"/>
              <w:right w:w="100" w:type="dxa"/>
              <w:bottom w:w="120" w:type="dxa"/>
            </w:tcMar>
            <w:tcW w:w="47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Тип потребителя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2f2f2"/>
            <w:tcMar>
              <w:left w:w="100" w:type="dxa"/>
              <w:top w:w="120" w:type="dxa"/>
              <w:right w:w="100" w:type="dxa"/>
              <w:bottom w:w="12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Расчетные прирост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тепловой нагрузки, Гкал/час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120" w:type="dxa"/>
              <w:right w:w="100" w:type="dxa"/>
              <w:bottom w:w="120" w:type="dxa"/>
            </w:tcMar>
            <w:tcW w:w="53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Год ввода в эксплуатацию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blHeader/>
        </w:trPr>
        <w:tc>
          <w:tcPr>
            <w:tcW w:w="1265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1265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478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120" w:type="dxa"/>
              <w:right w:w="100" w:type="dxa"/>
              <w:bottom w:w="120" w:type="dxa"/>
            </w:tcMar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Отопление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120" w:type="dxa"/>
              <w:right w:w="100" w:type="dxa"/>
              <w:bottom w:w="120" w:type="dxa"/>
            </w:tcMar>
            <w:tcW w:w="46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Вентиляция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120" w:type="dxa"/>
              <w:right w:w="100" w:type="dxa"/>
              <w:bottom w:w="120" w:type="dxa"/>
            </w:tcMar>
            <w:tcW w:w="28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ГВС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120" w:type="dxa"/>
              <w:right w:w="100" w:type="dxa"/>
              <w:bottom w:w="120" w:type="dxa"/>
            </w:tcMar>
            <w:tcW w:w="28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Пар</w:t>
            </w:r>
            <w:r>
              <w:rPr>
                <w:rFonts w:cs="Times New Roman"/>
              </w:rPr>
            </w:r>
          </w:p>
        </w:tc>
        <w:tc>
          <w:tcPr>
            <w:tcW w:w="535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8"/>
            <w:shd w:val="clear" w:color="auto" w:fill="dbe5f1"/>
            <w:tcMar>
              <w:left w:w="100" w:type="dxa"/>
              <w:top w:w="40" w:type="dxa"/>
              <w:right w:w="1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АО «МЭС»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"Заполярный"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МКД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Население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0,20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6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28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0,016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28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2025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ЭЦ-2 пгт. Никель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2530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</w:rPr>
              <w:t xml:space="preserve">Итого: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46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28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0,0160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28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</w:r>
            <w:r>
              <w:rPr>
                <w:rFonts w:cs="Times New Roman"/>
                <w:color w:val="000000"/>
                <w:sz w:val="22"/>
              </w:rPr>
            </w:r>
          </w:p>
        </w:tc>
      </w:tr>
      <w:tr>
        <w:tblPrEx/>
        <w:trPr>
          <w:jc w:val="center"/>
        </w:trPr>
        <w:tc>
          <w:tcPr>
            <w:gridSpan w:val="8"/>
            <w:shd w:val="clear" w:color="auto" w:fill="dbe5f1"/>
            <w:tcMar>
              <w:left w:w="100" w:type="dxa"/>
              <w:top w:w="40" w:type="dxa"/>
              <w:right w:w="1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ПАО «ТГК-1»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Электрокотельная "К-15" нп. Раякоски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Электрокотельная "М-4" нп. Раякоски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2530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</w:rPr>
              <w:t xml:space="preserve">Итого: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46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28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28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bd4b4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</w:r>
            <w:r>
              <w:rPr>
                <w:rFonts w:cs="Times New Roman"/>
                <w:color w:val="000000"/>
                <w:sz w:val="22"/>
              </w:rPr>
            </w:r>
          </w:p>
        </w:tc>
      </w:tr>
      <w:tr>
        <w:tblPrEx/>
        <w:trPr>
          <w:jc w:val="center"/>
        </w:trPr>
        <w:tc>
          <w:tcPr>
            <w:gridSpan w:val="8"/>
            <w:shd w:val="clear" w:color="auto" w:fill="dbe5f1"/>
            <w:tcMar>
              <w:left w:w="100" w:type="dxa"/>
              <w:top w:w="40" w:type="dxa"/>
              <w:right w:w="1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51 нп. Корзуново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№2/44 пгт Печенга (в.г. №2)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(19 км)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(19 км)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№31/44 н.п. Луостари (в.г. №31)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8"/>
            <w:shd w:val="clear" w:color="auto" w:fill="dbe5f1"/>
            <w:tcMar>
              <w:left w:w="100" w:type="dxa"/>
              <w:top w:w="40" w:type="dxa"/>
              <w:right w:w="1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13/55 пгт. Печенга, ш. Печенгское 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13/73 пгт. Печенга, ул. Стадионная 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42/138 нп. Спутник (в.г. №42)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4/152 ж/д ст. Печенга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3 нп. Лиинахамари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15/146 нп. Луостари, ул. Верхняя (в.г. №15)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5/149 нп. Луостари, ул. Нижняя (в.г. №5)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8"/>
            <w:shd w:val="clear" w:color="auto" w:fill="dbe5f1"/>
            <w:tcMar>
              <w:left w:w="100" w:type="dxa"/>
              <w:top w:w="40" w:type="dxa"/>
              <w:right w:w="1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№9/49 пгт. Печенга (в.г. №9)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№25/52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№18/65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№13/66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№69/6 н.п.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Вайда-Губа (в.г. №69)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№38/86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№38)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№21/90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№12/150 н.п. Спутник (в.г. №12)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№25)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№21/172 пгт. Печенга 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№38/177 пгт. Печенга (в.г. №38)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№42)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26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Прирост не планируется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-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shd w:val="clear" w:color="auto" w:fill="f2f2f2"/>
            <w:tcMar>
              <w:left w:w="100" w:type="dxa"/>
              <w:top w:w="40" w:type="dxa"/>
              <w:right w:w="100" w:type="dxa"/>
              <w:bottom w:w="40" w:type="dxa"/>
            </w:tcMar>
            <w:tcW w:w="2530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Итого по МО: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40" w:type="dxa"/>
              <w:right w:w="100" w:type="dxa"/>
              <w:bottom w:w="40" w:type="dxa"/>
            </w:tcMar>
            <w:tcW w:w="4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f2f2f2"/>
            <w:tcMar>
              <w:left w:w="100" w:type="dxa"/>
              <w:top w:w="40" w:type="dxa"/>
              <w:right w:w="100" w:type="dxa"/>
              <w:bottom w:w="40" w:type="dxa"/>
            </w:tcMar>
            <w:tcW w:w="4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40" w:type="dxa"/>
              <w:right w:w="100" w:type="dxa"/>
              <w:bottom w:w="40" w:type="dxa"/>
            </w:tcMar>
            <w:tcW w:w="46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40" w:type="dxa"/>
              <w:right w:w="100" w:type="dxa"/>
              <w:bottom w:w="40" w:type="dxa"/>
            </w:tcMar>
            <w:tcW w:w="28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40" w:type="dxa"/>
              <w:right w:w="100" w:type="dxa"/>
              <w:bottom w:w="40" w:type="dxa"/>
            </w:tcMar>
            <w:tcW w:w="28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100" w:type="dxa"/>
              <w:top w:w="40" w:type="dxa"/>
              <w:right w:w="100" w:type="dxa"/>
              <w:bottom w:w="40" w:type="dxa"/>
            </w:tcMar>
            <w:tcW w:w="5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</w:tr>
    </w:tbl>
    <w:p>
      <w:pPr>
        <w:pStyle w:val="728"/>
        <w:jc w:val="center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pStyle w:val="728"/>
        <w:jc w:val="center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pStyle w:val="728"/>
        <w:jc w:val="center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pStyle w:val="728"/>
        <w:jc w:val="center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pStyle w:val="728"/>
        <w:jc w:val="center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pStyle w:val="728"/>
        <w:jc w:val="center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2.4.2.1 - Прирост тепловой нагрузки по </w:t>
      </w:r>
      <w:r>
        <w:rPr>
          <w:rFonts w:cs="Times New Roman"/>
          <w:b/>
        </w:rPr>
        <w:t xml:space="preserve">годам</w:t>
      </w:r>
      <w:r>
        <w:rPr>
          <w:rFonts w:cs="Times New Roman"/>
        </w:rPr>
      </w:r>
    </w:p>
    <w:tbl>
      <w:tblPr>
        <w:tblStyle w:val="729"/>
        <w:tblW w:w="5184" w:type="pct"/>
        <w:jc w:val="center"/>
        <w:tblInd w:w="0" w:type="dxa"/>
        <w:tblLook w:val="04A0" w:firstRow="1" w:lastRow="0" w:firstColumn="1" w:lastColumn="0" w:noHBand="0" w:noVBand="1"/>
      </w:tblPr>
      <w:tblGrid>
        <w:gridCol w:w="1958"/>
        <w:gridCol w:w="1610"/>
        <w:gridCol w:w="1274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62"/>
      </w:tblGrid>
      <w:tr>
        <w:tblPrEx/>
        <w:trPr>
          <w:jc w:val="center"/>
          <w:tblHeader/>
        </w:trPr>
        <w:tc>
          <w:tcPr>
            <w:shd w:val="clear" w:color="auto" w:fill="f2f2f2"/>
            <w:tcW w:w="6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 тепловой энергии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Показатель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2024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2025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2026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2028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2031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2032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2033-2043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ЕТО-1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АО «МЭС»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"Заполярный"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58,1470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58,3470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58,3470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58,3470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58,3470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58,3470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58,3470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58,3470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58,3470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58,3470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22,4262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22,4422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22,4422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22,4422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22,4422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22,4422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22,4422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22,4422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22,4422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22,4422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40,8752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40,8752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40,8752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40,8752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40,8752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40,8752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40,8752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40,8752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40,8752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40,8752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2,2345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2,2345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2,2345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2,2345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2,2345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2,2345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2,2345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2,2345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2,2345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2,2345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123,6829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123,8989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123,8989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123,8989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123,8989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123,8989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123,8989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123,8989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123,8989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123,8989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ЭЦ-2 пгт. Никель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37,7150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37,7150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37,7150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37,7150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37,7150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37,7150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37,7150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37,7150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37,7150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37,7150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8,9936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8,9936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8,9936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8,9936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8,9936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8,9936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8,9936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8,9936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8,9936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8,9936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4,8660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4,8660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4,8660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4,8660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4,8660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4,8660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4,8660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4,8660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4,8660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4,8660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ЕТО-2 ПАО «ТГК-1»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Электрокотельная "К-15" нп. Раякоски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0,3549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0,3549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0,3549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0,3549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0,3549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0,3549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0,3549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0,3549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0,3549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0,3549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0,0295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Электрокотельная "М-4" нп. Раякоски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ЕТО-3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13/55 пгт. Печенга, ш. Печенгское (в.г. №13)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1,7630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0,1921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13/73 пгт. Печенга, ул. Стадионная (в.г. №13)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1,8515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1,8515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1,8515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1,8515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1,8515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1,8515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1,8515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1,8515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1,8515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1,8515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0,3329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0,3329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0,3329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0,3329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0,3329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0,3329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0,3329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0,3329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0,3329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0,3329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42/138 нп. Спутник (в.г. №42)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4,5811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4,5811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4,5811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4,5811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4,5811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4,5811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4,5811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4,5811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4,5811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4,5811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0,5739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0,5739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0,5739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0,5739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0,5739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0,5739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0,5739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0,5739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0,5739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0,5739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4/152 ж/д ст. Печенга (в.г. №4)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2,1972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2,1972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2,1972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2,1972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2,1972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2,1972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2,1972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2,1972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2,1972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2,1972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0,1477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0,1477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0,1477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0,1477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0,1477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0,1477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0,1477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0,1477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0,1477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0,1477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3 нп. Лиинахамари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1,4700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0,2227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0,2227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0,2227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0,2227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0,2227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0,2227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0,2227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0,2227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0,2227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0,2227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15/146 нп. Луостари, ул. Верхняя (в.г. №15)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1,2370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0,1266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0,1266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0,1266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0,1266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0,1266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0,1266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0,1266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0,1266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0,1266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0,1266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5/149 нп. Луостари, ул. Нижняя (в.г. №5)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2,9660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2,9660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2,9660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2,9660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2,9660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2,9660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2,9660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2,9660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2,9660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2,9660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№15)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0,0531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0,0531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0,0531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0,0531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0,0531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0,0531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0,0531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0,0531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0,0531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0,0531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№5)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1,4370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1,4370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ЕТО-4 ООО «Теплонорд»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51 нп. Корзуново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0,6630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0,6630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0,0863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0,0863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0,0863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0,0863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0,0863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0,0863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0,0863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0,0863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0,0863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0,0863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№2/44 пгт Печенга (в.г. №2)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(19 км) (в.г. №4)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(19 км) (в.г. №4)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№31/44 н.п. Луостари (в.г. №31)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12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ЕТО-5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№9/49 пгт. Печенга (в.г. №9)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0,0580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№25/52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№25)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№18/65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№18)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0,2800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№13/66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№13)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№69/6 н.п.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Вайда-Губа (в.г. №69)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0,2650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0,0780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№38/86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№38)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№21/90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№21)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№21)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1,3000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0,5400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№21)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№12/150 н.п. Спутник (в.г. №12)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№12)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№25)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№21/172 пгт. Печенга (в.г. №21)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№38/177 пгт. Печенга (в.г. №38)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№42)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Отопление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ГВС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Вентиляция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Пар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00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1094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Всего по МО: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203,8373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204,0533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204,0533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204,0533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204,0533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204,0533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204,0533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204,0533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39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3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204,0533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728"/>
        <w:rPr>
          <w:rFonts w:cs="Times New Roman"/>
          <w:lang w:val="en-US" w:eastAsia="ru-RU"/>
        </w:rPr>
        <w:sectPr>
          <w:footnotePr/>
          <w:endnotePr/>
          <w:type w:val="nextPage"/>
          <w:pgSz w:w="16838" w:h="11906" w:orient="landscape"/>
          <w:pgMar w:top="1134" w:right="536" w:bottom="1134" w:left="567" w:header="708" w:footer="708" w:gutter="0"/>
          <w:cols w:num="1" w:sep="0" w:space="708" w:equalWidth="1"/>
          <w:docGrid w:linePitch="360"/>
        </w:sect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pStyle w:val="717"/>
        <w:ind w:left="0" w:firstLine="0"/>
      </w:pPr>
      <w:r/>
      <w:hyperlink r:id="rId30" w:tooltip="file:///D:\Source\Ses\Docs\Оглавление%20том%202%20%20О.М..docx#bookmark13" w:anchor="bookmark13" w:history="1">
        <w:bookmarkStart w:id="25" w:name="_Toc30081814"/>
        <w:bookmarkStart w:id="26" w:name="_Toc30085049"/>
        <w:bookmarkStart w:id="27" w:name="_Toc32845315"/>
        <w:bookmarkStart w:id="28" w:name="_Toc204085693"/>
        <w:r>
          <w:t xml:space="preserve">Часть 5. ПРОГНОЗЫ ПРИРОСТОВ ОБЪЕМОВ ПОТРЕБЛЕНИЯ ТЕПЛОВОЙ ЭНЕРГИИ</w:t>
        </w:r>
      </w:hyperlink>
      <w:r>
        <w:t xml:space="preserve"> </w:t>
      </w:r>
      <w:hyperlink r:id="rId31" w:tooltip="file:///D:\Source\Ses\Docs\Оглавление%20том%202%20%20О.М..docx#bookmark13" w:anchor="bookmark13" w:history="1">
        <w:r>
          <w:t xml:space="preserve">(МОЩНОСТИ) И ТЕПЛОНОСИТЕЛЯ С РАЗДЕЛЕНИЕМ ПО ВИДАМ</w:t>
        </w:r>
      </w:hyperlink>
      <w:r>
        <w:t xml:space="preserve"> </w:t>
      </w:r>
      <w:hyperlink r:id="rId32" w:tooltip="file:///D:\Source\Ses\Docs\Оглавление%20том%202%20%20О.М..docx#bookmark13" w:anchor="bookmark13" w:history="1">
        <w:r>
          <w:t xml:space="preserve">ТЕПЛОПОТРЕБЛЕНИЯ В РАСЧЕТНЫХ ЭЛЕМЕНТАХ ТЕРРИТОРИАЛЬНОГО ДЕЛЕНИЯ</w:t>
        </w:r>
      </w:hyperlink>
      <w:r>
        <w:t xml:space="preserve"> </w:t>
      </w:r>
      <w:hyperlink r:id="rId33" w:tooltip="file:///D:\Source\Ses\Docs\Оглавление%20том%202%20%20О.М..docx#bookmark13" w:anchor="bookmark13" w:history="1">
        <w:r>
          <w:t xml:space="preserve">И В ЗОНАХ ИНДИВИДУАЛЬНОГО ТЕПЛОСНАБЖЕНИЯ НА КАЖДОМ ЭТАПЕ</w:t>
        </w:r>
        <w:bookmarkEnd w:id="25"/>
        <w:bookmarkEnd w:id="26"/>
        <w:bookmarkEnd w:id="27"/>
        <w:bookmarkEnd w:id="28"/>
      </w:hyperlink>
      <w:r/>
      <w:r/>
    </w:p>
    <w:p>
      <w:pPr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ind w:firstLine="709"/>
        <w:jc w:val="both"/>
        <w:rPr>
          <w:rFonts w:cs="Times New Roman"/>
          <w:szCs w:val="24"/>
          <w:lang w:eastAsia="ru-RU"/>
        </w:rPr>
      </w:pPr>
      <w:r/>
      <w:bookmarkStart w:id="29" w:name="_Hlk174372877"/>
      <w:r/>
      <w:bookmarkStart w:id="30" w:name="_Hlk204003211"/>
      <w:r>
        <w:rPr>
          <w:rFonts w:cs="Times New Roman"/>
          <w:szCs w:val="24"/>
        </w:rPr>
        <w:t xml:space="preserve">На момент актуализации схемы теплоснабжения у </w:t>
      </w:r>
      <w:r>
        <w:rPr>
          <w:rFonts w:cs="Times New Roman"/>
          <w:szCs w:val="24"/>
          <w:lang w:eastAsia="ru-RU"/>
        </w:rPr>
        <w:t xml:space="preserve">ПАО «Газпром» в разработке Программа развития газоснабжения и газификации Мурманской области на период 202</w:t>
      </w:r>
      <w:r>
        <w:rPr>
          <w:rFonts w:cs="Times New Roman"/>
          <w:szCs w:val="24"/>
          <w:lang w:eastAsia="ru-RU"/>
        </w:rPr>
        <w:t xml:space="preserve">6</w:t>
      </w:r>
      <w:r>
        <w:rPr>
          <w:rFonts w:cs="Times New Roman"/>
          <w:szCs w:val="24"/>
          <w:lang w:eastAsia="ru-RU"/>
        </w:rPr>
        <w:t xml:space="preserve">-2030 гг., которой будет предусмотрена газификация населения.</w:t>
      </w:r>
      <w:bookmarkEnd w:id="29"/>
      <w:r>
        <w:rPr>
          <w:rFonts w:cs="Times New Roman"/>
          <w:szCs w:val="24"/>
          <w:lang w:eastAsia="ru-RU"/>
        </w:rPr>
      </w:r>
    </w:p>
    <w:p>
      <w:pPr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</w:r>
      <w:r>
        <w:rPr>
          <w:rFonts w:cs="Times New Roman"/>
          <w:szCs w:val="24"/>
          <w:lang w:eastAsia="ru-RU"/>
        </w:rPr>
      </w:r>
    </w:p>
    <w:p>
      <w:pPr>
        <w:rPr>
          <w:rFonts w:cs="Times New Roman"/>
          <w:b/>
          <w:szCs w:val="24"/>
          <w:lang w:eastAsia="ru-RU"/>
        </w:rPr>
      </w:pPr>
      <w:r/>
      <w:bookmarkStart w:id="31" w:name="_Hlk174372856"/>
      <w:r>
        <w:rPr>
          <w:rFonts w:cs="Times New Roman"/>
          <w:b/>
          <w:szCs w:val="24"/>
          <w:lang w:eastAsia="ru-RU"/>
        </w:rPr>
        <w:t xml:space="preserve">Таблица 2.5.1 – Перечень населенных пунктов, где планируется газификация населения</w:t>
      </w:r>
      <w:bookmarkEnd w:id="31"/>
      <w:r>
        <w:rPr>
          <w:rFonts w:cs="Times New Roman"/>
          <w:b/>
          <w:szCs w:val="24"/>
          <w:lang w:eastAsia="ru-RU"/>
        </w:rPr>
      </w:r>
    </w:p>
    <w:tbl>
      <w:tblPr>
        <w:tblW w:w="21972" w:type="dxa"/>
        <w:tblInd w:w="-5" w:type="dxa"/>
        <w:tblLook w:val="04A0" w:firstRow="1" w:lastRow="0" w:firstColumn="1" w:lastColumn="0" w:noHBand="0" w:noVBand="1"/>
      </w:tblPr>
      <w:tblGrid>
        <w:gridCol w:w="1898"/>
        <w:gridCol w:w="1057"/>
        <w:gridCol w:w="1303"/>
        <w:gridCol w:w="1056"/>
        <w:gridCol w:w="1159"/>
        <w:gridCol w:w="1159"/>
        <w:gridCol w:w="1693"/>
        <w:gridCol w:w="1275"/>
        <w:gridCol w:w="1223"/>
        <w:gridCol w:w="1314"/>
        <w:gridCol w:w="1085"/>
        <w:gridCol w:w="1273"/>
        <w:gridCol w:w="1425"/>
        <w:gridCol w:w="1065"/>
        <w:gridCol w:w="1303"/>
        <w:gridCol w:w="1303"/>
        <w:gridCol w:w="1056"/>
        <w:gridCol w:w="1056"/>
      </w:tblGrid>
      <w:tr>
        <w:tblPrEx/>
        <w:trPr>
          <w:trHeight w:val="284"/>
          <w:tblHeader/>
        </w:trPr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наименование н/п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примечания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f2f2f2" w:themeFill="background1" w:themeFillShade="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численность населения, тыс.чел.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shd w:val="clear" w:color="auto" w:fill="f2f2f2" w:themeFill="background1" w:themeFillShade="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6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Индивидуальное отопление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shd w:val="clear" w:color="auto" w:fill="f2f2f2" w:themeFill="background1" w:themeFillShade="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Центральное отопление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shd w:val="clear" w:color="auto" w:fill="f2f2f2" w:themeFill="background1" w:themeFillShade="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Перспектива строительства нового жилья по ген. плану развития н/п на ближайшие 10 лет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  <w:tblHeader/>
        </w:trPr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в домах с индивидуальным отоплением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в домах с центральным отоплением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количество домовладений/ квартир, шт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общая площадь домовладений/ квартир, м²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Кол-во домовладений/квартир, газифицированных сетевым газом, шт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Кол-во домовладений/ квартир, подлежащих газификации, шт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Кол-во квартир в домах без центрального горячего водоснабжения, шт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Кол-во квартир в домах с центральным горячим водоснабжением, шт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общая площадь квартир в домах с центральным отоплением, м²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Кол-во квартир с электроплитами, шт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Кол-во квартир, газифицированных сетевым газом, шт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Кол-во квартир, подлежащих газификации, шт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количество домовладений/ квартир в домах с индивидуальным отоплением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общая площадь домов с индивидуальным отоплением, м²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количество квартир в домах с центральным отоплением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общая площадь квартир в домах с центральным отоплением, м²</w:t>
            </w:r>
            <w:r>
              <w:rPr>
                <w:rFonts w:eastAsia="Times New Roman" w:cs="Times New Roman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Печенгский район</w:t>
            </w:r>
            <w:r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Городское поселение Никель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Никель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10,386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324390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Борисоглебский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Приречный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Сальмиярви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Городское поселение Заполярный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Заполярный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8400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395870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8400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Городское поселение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 пгт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3,519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51408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Лиинахамари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23460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Вайда-Губа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 ж/д 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Спутник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2,219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31866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Цыпнаволок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Сельское поселение Корзуново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Корзуново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22950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2,249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Путевая Усадьба 9 км железной дороги Луостари-Никель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Луостари ж/д 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Титовка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ind w:left="-426"/>
        <w:jc w:val="center"/>
        <w:spacing w:after="120"/>
        <w:rPr>
          <w:rFonts w:cs="Times New Roman"/>
          <w:i/>
        </w:rPr>
      </w:pPr>
      <w:r>
        <w:rPr>
          <w:rFonts w:cs="Times New Roman"/>
          <w:i/>
        </w:rPr>
      </w:r>
      <w:r>
        <w:rPr>
          <w:rFonts w:cs="Times New Roman"/>
          <w:i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bookmarkEnd w:id="30"/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rPr>
          <w:rFonts w:cs="Times New Roman"/>
        </w:rPr>
        <w:sectPr>
          <w:footnotePr/>
          <w:endnotePr/>
          <w:type w:val="nextPage"/>
          <w:pgSz w:w="23811" w:h="16838" w:orient="landscape"/>
          <w:pgMar w:top="1134" w:right="536" w:bottom="1134" w:left="567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34" w:tooltip="file:///D:\Source\Ses\Docs\Оглавление%20том%202%20%20О.М..docx#bookmark17" w:anchor="bookmark17" w:history="1">
        <w:bookmarkStart w:id="32" w:name="_Toc30081818"/>
        <w:bookmarkStart w:id="33" w:name="_Toc30085053"/>
        <w:bookmarkStart w:id="34" w:name="_Toc32845319"/>
        <w:bookmarkStart w:id="35" w:name="_Toc204085694"/>
        <w:r>
          <w:t xml:space="preserve">Часть 6. ПРОГНОЗЫ</w:t>
        </w:r>
        <w:r>
          <w:t xml:space="preserve"> </w:t>
        </w:r>
        <w:r>
          <w:t xml:space="preserve">ПРИРОСТОВ ОБЪЕМОВ</w:t>
        </w:r>
        <w:r>
          <w:t xml:space="preserve"> </w:t>
        </w:r>
        <w:r>
          <w:t xml:space="preserve">ПОТРЕБЛЕНИИ ТЕПЛОВОЙ</w:t>
        </w:r>
      </w:hyperlink>
      <w:r>
        <w:t xml:space="preserve"> </w:t>
      </w:r>
      <w:hyperlink r:id="rId35" w:tooltip="file:///D:\Source\Ses\Docs\Оглавление%20том%202%20%20О.М..docx#bookmark17" w:anchor="bookmark17" w:history="1">
        <w:r>
          <w:t xml:space="preserve">ЭНЕРГИИ</w:t>
        </w:r>
        <w:bookmarkEnd w:id="32"/>
        <w:bookmarkEnd w:id="33"/>
        <w:bookmarkEnd w:id="34"/>
      </w:hyperlink>
      <w:r>
        <w:t xml:space="preserve"> </w:t>
      </w:r>
      <w:hyperlink r:id="rId36" w:tooltip="file:///D:\Source\Ses\Docs\Оглавление%20том%202%20%20О.М..docx#bookmark13" w:anchor="bookmark13" w:history="1">
        <w:r>
          <w:t xml:space="preserve">(МОЩНОСТИ) И ТЕПЛОНОСИТЕЛЯ ОБЪЕКТАМИ, РАСПОЛОЖЕННЫМИ В ПРОИЗВОДСТВЕННЫХ ЗОНАХ, ПРИ </w:t>
        </w:r>
      </w:hyperlink>
      <w:r>
        <w:t xml:space="preserve">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ОБЪКТАМИ С РАЗДЕЛЕНИЕМ ПО ВИДАМ ТЕПЛОПОТРЕБЛЕНИЯ</w:t>
      </w:r>
      <w:r>
        <w:t xml:space="preserve"> </w:t>
      </w:r>
      <w:r>
        <w:t xml:space="preserve">И ПО ВОДАМ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</w:r>
      <w:bookmarkEnd w:id="35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На период реализации Схемы теп</w:t>
      </w:r>
      <w:r>
        <w:rPr>
          <w:rFonts w:cs="Times New Roman"/>
          <w:szCs w:val="24"/>
        </w:rPr>
        <w:t xml:space="preserve">лоснабжения приросты объёмов потребления тепловой энергии (мощности) и теплоносителя объектами, расположенными в производственных зонах, не планируются. Изменения производственных зон, а также их перепрофилирование на расчётный период не предусматривается.</w:t>
      </w:r>
      <w:r>
        <w:rPr>
          <w:rFonts w:cs="Times New Roman"/>
          <w:szCs w:val="24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36" w:name="_Toc53927635"/>
      <w:r/>
      <w:bookmarkStart w:id="37" w:name="_Toc204085695"/>
      <w:r>
        <w:t xml:space="preserve">Часть 7. </w:t>
      </w:r>
      <w:bookmarkStart w:id="38" w:name="OLE_LINK25"/>
      <w:r/>
      <w:bookmarkStart w:id="39" w:name="OLE_LINK26"/>
      <w:r/>
      <w:bookmarkStart w:id="40" w:name="OLE_LINK27"/>
      <w:r>
        <w:t xml:space="preserve">ОПИСАНИЕ ИЗМЕНЕНИЙ ПОКАЗАТЕЛЕЙ СУЩЕСТВУЮЩЕГО И ПЕРСПЕКТИВНОГО ПОТРЕБЛЕНИЯ ТЕПЛОВОЙ ЭНЕРГИИ НА ЦЕЛИ ТЕПЛОСНАБЖЕНИЯ</w:t>
      </w:r>
      <w:bookmarkEnd w:id="36"/>
      <w:r/>
      <w:bookmarkEnd w:id="37"/>
      <w:r/>
      <w:bookmarkEnd w:id="38"/>
      <w:r/>
      <w:bookmarkEnd w:id="39"/>
      <w:r/>
      <w:bookmarkEnd w:id="40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ind w:firstLine="567"/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Описани</w:t>
      </w:r>
      <w:r>
        <w:rPr>
          <w:rFonts w:cs="Times New Roman"/>
          <w:lang w:eastAsia="ru-RU"/>
        </w:rPr>
        <w:t xml:space="preserve">е изменений выполнено только на основании прироста потребителей, и эта данные взяты как основа. Естественно ежегодно потребление не совпадают по факту из года в год, так как из-за разных погодных условий итоговое потребление будет всегда разным, плавающим.</w:t>
      </w:r>
      <w:r>
        <w:rPr>
          <w:rFonts w:cs="Times New Roman"/>
          <w:lang w:eastAsia="ru-RU"/>
        </w:rPr>
      </w:r>
    </w:p>
    <w:p>
      <w:pPr>
        <w:spacing w:before="400" w:after="200"/>
        <w:rPr>
          <w:rFonts w:cs="Times New Roman"/>
        </w:rPr>
      </w:pPr>
      <w:r/>
      <w:bookmarkStart w:id="41" w:name="OLE_LINK28"/>
      <w:r/>
      <w:bookmarkStart w:id="42" w:name="OLE_LINK29"/>
      <w:r/>
      <w:bookmarkStart w:id="43" w:name="OLE_LINK30"/>
      <w:r/>
      <w:bookmarkEnd w:id="41"/>
      <w:r/>
      <w:bookmarkEnd w:id="42"/>
      <w:r/>
      <w:bookmarkEnd w:id="43"/>
      <w:r>
        <w:rPr>
          <w:rFonts w:cs="Times New Roman"/>
          <w:b/>
        </w:rPr>
        <w:t xml:space="preserve">Таблица 2.7.1 - Описание изменений тепловой энергии на цели теплоснабжения</w:t>
      </w:r>
      <w:r>
        <w:rPr>
          <w:rFonts w:cs="Times New Roman"/>
        </w:rPr>
      </w:r>
    </w:p>
    <w:tbl>
      <w:tblPr>
        <w:tblStyle w:val="729"/>
        <w:tblW w:w="4585" w:type="pct"/>
        <w:jc w:val="center"/>
        <w:tblInd w:w="0" w:type="dxa"/>
        <w:tblLook w:val="04A0" w:firstRow="1" w:lastRow="0" w:firstColumn="1" w:lastColumn="0" w:noHBand="0" w:noVBand="1"/>
      </w:tblPr>
      <w:tblGrid>
        <w:gridCol w:w="635"/>
        <w:gridCol w:w="4179"/>
        <w:gridCol w:w="1886"/>
        <w:gridCol w:w="1862"/>
        <w:gridCol w:w="7"/>
      </w:tblGrid>
      <w:tr>
        <w:tblPrEx/>
        <w:trPr>
          <w:gridAfter w:val="1"/>
          <w:jc w:val="center"/>
          <w:tblHeader/>
        </w:trPr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6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№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41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Наименование источника</w:t>
            </w:r>
            <w:r>
              <w:rPr>
                <w:rFonts w:cs="Times New Roman"/>
              </w:rPr>
            </w:r>
          </w:p>
        </w:tc>
        <w:tc>
          <w:tcPr>
            <w:gridSpan w:val="2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7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Потребление тепловой энергии, Гкал/год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  <w:tblHeader/>
        </w:trPr>
        <w:tc>
          <w:tcPr>
            <w:tcW w:w="635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4179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существующее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перспективное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dbe5f1"/>
            <w:tcMar>
              <w:left w:w="20" w:type="dxa"/>
              <w:top w:w="40" w:type="dxa"/>
              <w:right w:w="20" w:type="dxa"/>
              <w:bottom w:w="40" w:type="dxa"/>
            </w:tcMar>
            <w:tcW w:w="8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АО «МЭС»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"Заполярный"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168240,0000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165527,0000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ЭЦ-2 пгт. Никель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145948,0000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131819,8600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dbe5f1"/>
            <w:tcMar>
              <w:left w:w="20" w:type="dxa"/>
              <w:top w:w="40" w:type="dxa"/>
              <w:right w:w="20" w:type="dxa"/>
              <w:bottom w:w="40" w:type="dxa"/>
            </w:tcMar>
            <w:tcW w:w="8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ПАО «ТГК-1»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Электрокотельная "К-15" нп. Раякоски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1294,2790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1391,9590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Электрокотельная "М-4" нп. Раякоски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41,6780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48,0390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dbe5f1"/>
            <w:tcMar>
              <w:left w:w="20" w:type="dxa"/>
              <w:top w:w="40" w:type="dxa"/>
              <w:right w:w="20" w:type="dxa"/>
              <w:bottom w:w="40" w:type="dxa"/>
            </w:tcMar>
            <w:tcW w:w="8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13/55 пгт. Печенга, ш. Печенгское 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4732,2900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4900,0000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13/73 пгт. Печенга, ул. Стадионная 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6581,4300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6600,0000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42/138 нп. Спутник (в.г. №42)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14371,3800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14400,0000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4/152 ж/д ст. Печенга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7041,9000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7050,0000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3 нп. Лиинахамари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4760,4500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4900,0000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15/146 нп. Луостари, ул. Верхняя (в.г. №15)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3692,6890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3700,0000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5/149 нп. Луостари, ул. Нижняя (в.г. №5)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5433,4860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5500,0000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3911,7110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3950,0000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5579,7280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5600,0000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dbe5f1"/>
            <w:tcMar>
              <w:left w:w="20" w:type="dxa"/>
              <w:top w:w="40" w:type="dxa"/>
              <w:right w:w="20" w:type="dxa"/>
              <w:bottom w:w="40" w:type="dxa"/>
            </w:tcMar>
            <w:tcW w:w="8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51 нп. Корзуново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2093,0120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2093,0120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№2/44 пгт Печенга (в.г. №2)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690,2300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690,2300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(19 км)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974,7300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974,7300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(19 км)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202,3400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202,3400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№31/44 н.п. Луостари (в.г. №31)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552,7300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552,7300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dbe5f1"/>
            <w:tcMar>
              <w:left w:w="20" w:type="dxa"/>
              <w:top w:w="40" w:type="dxa"/>
              <w:right w:w="20" w:type="dxa"/>
              <w:bottom w:w="40" w:type="dxa"/>
            </w:tcMar>
            <w:tcW w:w="8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№9/49 пгт. Печенга (в.г. №9)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1305,2000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1305,2000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№25/52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114,4000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114,4000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№18/65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1385,1000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1385,1000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№13/66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478,0000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478,0000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№69/6 н.п.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Вайда-Губа (в.г. №69)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996,0000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996,0000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№38/86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№38)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197,0000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197,0000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№21/90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694,9000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694,9000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6935,0000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6935,0000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193,9000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193,9000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№12/150 н.п. Спутник (в.г. №12)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788,6000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788,6000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38,0000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№25)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504,3000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504,3000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№21/172 пгт. Печенга 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183,0000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183,0000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№38/177 пгт. Печенга (в.г. №38)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507,1000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507,1000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6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4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№42)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133,6000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133,6000</w:t>
            </w:r>
            <w:r>
              <w:rPr>
                <w:rFonts w:cs="Times New Roman"/>
              </w:rPr>
            </w:r>
          </w:p>
        </w:tc>
      </w:tr>
      <w:tr>
        <w:tblPrEx/>
        <w:trPr>
          <w:gridAfter w:val="1"/>
          <w:jc w:val="center"/>
        </w:trPr>
        <w:tc>
          <w:tcPr>
            <w:gridSpan w:val="2"/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481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Итого по МО: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1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390596,1630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40" w:type="dxa"/>
              <w:right w:w="200" w:type="dxa"/>
              <w:bottom w:w="40" w:type="dxa"/>
            </w:tcMar>
            <w:tcW w:w="1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374354,0000</w:t>
            </w:r>
            <w:r>
              <w:rPr>
                <w:rFonts w:cs="Times New Roman"/>
              </w:rPr>
            </w:r>
          </w:p>
        </w:tc>
      </w:tr>
    </w:tbl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44" w:name="_Toc53927636"/>
      <w:r/>
      <w:bookmarkStart w:id="45" w:name="_Toc204085696"/>
      <w:r>
        <w:t xml:space="preserve">Часть 8. 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</w:t>
      </w:r>
      <w:bookmarkEnd w:id="44"/>
      <w:r/>
      <w:bookmarkEnd w:id="45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ind w:firstLine="709"/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За период, с момента ранее разработанной схемы теплоснабжения, объектов теплопотребления, подключенных к тепловым сетям существующих систем теплоснабжения – не зафиксировано.</w:t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46" w:name="_Toc53927637"/>
      <w:r/>
      <w:bookmarkStart w:id="47" w:name="_Toc204085697"/>
      <w:r>
        <w:t xml:space="preserve">Часть 9. АКТУАЛИЗИРОВАННЫЙ ПРОГНОЗ ПЕРСПЕКТИВНОЙ ЗАСТРОЙКИ ОТНОСИТЕЛЬНО УКАЗАННОГО В УТВЕРЖДЕННОЙ СХЕМЕ ТЕПЛОСНАБЖЕНИЯ ПРОГНОЗА ПЕРСПЕКТИВНОЙ ЗАСТРОЙКИ</w:t>
      </w:r>
      <w:bookmarkEnd w:id="46"/>
      <w:r/>
      <w:bookmarkEnd w:id="47"/>
      <w:r/>
      <w:r/>
    </w:p>
    <w:p>
      <w:pPr>
        <w:pStyle w:val="728"/>
        <w:rPr>
          <w:rFonts w:eastAsia="Calibri" w:cs="Times New Roman"/>
        </w:rPr>
      </w:pPr>
      <w:r>
        <w:rPr>
          <w:rFonts w:eastAsia="Calibri" w:cs="Times New Roman"/>
        </w:rPr>
      </w:r>
      <w:r>
        <w:rPr>
          <w:rFonts w:eastAsia="Calibri" w:cs="Times New Roman"/>
        </w:rPr>
      </w:r>
    </w:p>
    <w:p>
      <w:pPr>
        <w:pStyle w:val="728"/>
        <w:ind w:firstLine="567"/>
        <w:jc w:val="both"/>
        <w:rPr>
          <w:rFonts w:cs="Times New Roman"/>
          <w:szCs w:val="28"/>
        </w:rPr>
      </w:pPr>
      <w:r>
        <w:rPr>
          <w:rFonts w:cs="Times New Roman"/>
        </w:rPr>
        <w:t xml:space="preserve">Актуализированный прогноз перспективной застройки представлен в </w:t>
      </w:r>
      <w:r>
        <w:rPr>
          <w:rFonts w:cs="Times New Roman"/>
          <w:szCs w:val="28"/>
        </w:rPr>
        <w:t xml:space="preserve">части 4, текущей главы.</w:t>
      </w:r>
      <w:r>
        <w:rPr>
          <w:rFonts w:cs="Times New Roman"/>
          <w:szCs w:val="28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48" w:name="_Toc53927638"/>
      <w:r/>
      <w:bookmarkStart w:id="49" w:name="_Toc204085698"/>
      <w:r>
        <w:t xml:space="preserve">Часть </w:t>
      </w:r>
      <w:bookmarkStart w:id="50" w:name="OLE_LINK49"/>
      <w:r/>
      <w:bookmarkStart w:id="51" w:name="OLE_LINK50"/>
      <w:r/>
      <w:bookmarkStart w:id="52" w:name="OLE_LINK51"/>
      <w:r>
        <w:t xml:space="preserve">10. РАСЧЕТНАЯ ТЕПЛОВАЯ НАГРУЗКА НА КОЛЛЕКТОРАХ ИСТОЧНИКОВ ТЕПЛОВОЙ ЭНЕРГИИ</w:t>
      </w:r>
      <w:bookmarkEnd w:id="48"/>
      <w:r/>
      <w:bookmarkEnd w:id="49"/>
      <w:r/>
      <w:bookmarkEnd w:id="50"/>
      <w:r/>
      <w:bookmarkEnd w:id="51"/>
      <w:r/>
      <w:bookmarkEnd w:id="52"/>
      <w:r/>
      <w:r/>
    </w:p>
    <w:p>
      <w:pPr>
        <w:pStyle w:val="728"/>
        <w:ind w:firstLine="567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ind w:firstLine="567"/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Расчетные тепловые нагрузки на коллекторах источников тепловой энергии, на которых планируется прирост тепловой нагрузки на расчетный период до 2043</w:t>
      </w:r>
      <w:r>
        <w:rPr>
          <w:rFonts w:cs="Times New Roman"/>
          <w:color w:val="ff0000"/>
          <w:lang w:eastAsia="ru-RU"/>
        </w:rPr>
        <w:t xml:space="preserve"> </w:t>
      </w:r>
      <w:r>
        <w:rPr>
          <w:rFonts w:cs="Times New Roman"/>
          <w:lang w:eastAsia="ru-RU"/>
        </w:rPr>
        <w:t xml:space="preserve">года, приводятся в таблице 2.10.1. Для прочих источников тепловой энергии расчетные тепловые нагрузки на коллекторах не изменятся и останутся на уровне базового 2024 года (рассмотрено в Главе 1 п/п 1.5.2). </w:t>
      </w:r>
      <w:r>
        <w:rPr>
          <w:rFonts w:cs="Times New Roman"/>
          <w:lang w:eastAsia="ru-RU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2.10.1 - Расчетные тепловые нагрузки на коллекторах источников тепла с приростом тепловой нагрузки</w:t>
      </w:r>
      <w:r>
        <w:rPr>
          <w:rFonts w:cs="Times New Roman"/>
        </w:rPr>
      </w:r>
    </w:p>
    <w:tbl>
      <w:tblPr>
        <w:tblW w:w="9300" w:type="dxa"/>
        <w:tblInd w:w="-5" w:type="dxa"/>
        <w:tblLook w:val="04A0" w:firstRow="1" w:lastRow="0" w:firstColumn="1" w:lastColumn="0" w:noHBand="0" w:noVBand="1"/>
      </w:tblPr>
      <w:tblGrid>
        <w:gridCol w:w="4253"/>
        <w:gridCol w:w="2410"/>
        <w:gridCol w:w="2630"/>
        <w:gridCol w:w="7"/>
      </w:tblGrid>
      <w:tr>
        <w:tblPrEx/>
        <w:trPr>
          <w:gridAfter w:val="1"/>
          <w:trHeight w:val="301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Источник тепловой энергии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gridSpan w:val="2"/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Расчетные значения тепловых нагрузок на коллекторах, Гкал/ч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2024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АО «МЭС»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135,5819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135,6989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63,8897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63,8897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ПАО «ТГК-1»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0,3944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0,3944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ООО «ПромВоенСтрой»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2,3622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2,3622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2,7344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2,7344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6,548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6,548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2,8028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2,8028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2,1597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2,1597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2,4246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2,4246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3,849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3,849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№15/176 н.п. Луостари (в.г. №15)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2,3791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2,3791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№5/106 н.п. Луостари (в.г. №5)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2,729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2,729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ООО «Теплонорд»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0,9083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0,9083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0,1295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0,1295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№4/115 ж/д ст. Печенга (19 км) (в.г. №4)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0,1535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0,1535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№4/179 ж/д ст. Печенга (19 км) (в.г. №4)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0,2709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0,2709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ФГБУ «ЦЖКУ» МО РФ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№25/52 пгт. Печенга (в.г. №25)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№18/65 пгт. Печенга (в.г. №18)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1,41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1,41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№13/66 пгт. Печенга (в.г. №13)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0,18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0,18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№69/6 н.п. Вайда-Губа (в.г. №69)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№38/86 пгт. Печенга (в.г. №38)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№21/90 пгт. Печенга (в.г. №21)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1,63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1,63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№21/110 пгт. Печенга (в.г. №21)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2,29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2,29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№21/149 пгт. Печенга (в.г. №21)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0,48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0,48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№12/151 н.п. Спутник (в.г. №12)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№25/46 пгт. Печенга (в.г. №25)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0,097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0,097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9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№42/188 пгт. Печенга (в.г. №42)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2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Итого по МО: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210,5912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210,5912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</w:tbl>
    <w:p>
      <w:pPr>
        <w:pStyle w:val="728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pStyle w:val="717"/>
        <w:ind w:left="0" w:firstLine="0"/>
      </w:pPr>
      <w:r/>
      <w:hyperlink r:id="rId37" w:tooltip="file:///D:\Source\Ses\Docs\Оглавление%20том%202%20%20О.М..docx#bookmark29" w:anchor="bookmark29" w:history="1">
        <w:bookmarkStart w:id="53" w:name="_Toc30081830"/>
        <w:bookmarkStart w:id="54" w:name="_Toc30085065"/>
        <w:bookmarkStart w:id="55" w:name="_Toc32845331"/>
        <w:bookmarkStart w:id="56" w:name="_Toc204085699"/>
        <w:r>
          <w:t xml:space="preserve">ГЛАВА 3.</w:t>
        </w:r>
        <w:r>
          <w:t xml:space="preserve"> </w:t>
        </w:r>
        <w:r>
          <w:t xml:space="preserve">ЭЛЕКТРОННАЯ</w:t>
        </w:r>
        <w:r>
          <w:t xml:space="preserve"> </w:t>
        </w:r>
        <w:r>
          <w:t xml:space="preserve">МОДЕЛЬ</w:t>
        </w:r>
        <w:r>
          <w:t xml:space="preserve"> </w:t>
        </w:r>
        <w:r>
          <w:t xml:space="preserve">СИСТЕМЫ</w:t>
        </w:r>
        <w:r>
          <w:t xml:space="preserve"> </w:t>
        </w:r>
        <w:r>
          <w:t xml:space="preserve">ТЕПЛОСНАБЖЕНИЯ</w:t>
        </w:r>
        <w:r>
          <w:t xml:space="preserve"> </w:t>
        </w:r>
        <w:r>
          <w:t xml:space="preserve">ПОСЕЛЕНИЯ,</w:t>
        </w:r>
      </w:hyperlink>
      <w:r>
        <w:t xml:space="preserve"> </w:t>
      </w:r>
      <w:hyperlink r:id="rId38" w:tooltip="file:///D:\Source\Ses\Docs\Оглавление%20том%202%20%20О.М..docx#bookmark29" w:anchor="bookmark29" w:history="1">
        <w:r>
          <w:t xml:space="preserve">ГОРОДСКОГО ОКРУГА</w:t>
        </w:r>
        <w:bookmarkEnd w:id="53"/>
        <w:bookmarkEnd w:id="54"/>
        <w:bookmarkEnd w:id="55"/>
        <w:bookmarkEnd w:id="56"/>
      </w:hyperlink>
      <w:r/>
      <w:r/>
    </w:p>
    <w:p>
      <w:pPr>
        <w:pStyle w:val="728"/>
        <w:ind w:firstLine="567"/>
        <w:jc w:val="both"/>
        <w:rPr>
          <w:rFonts w:eastAsia="Arial" w:cs="Times New Roman"/>
          <w:szCs w:val="28"/>
          <w:lang w:eastAsia="zh-CN"/>
        </w:rPr>
      </w:pPr>
      <w:r>
        <w:rPr>
          <w:rFonts w:eastAsia="Arial" w:cs="Times New Roman"/>
          <w:szCs w:val="28"/>
          <w:lang w:eastAsia="zh-CN"/>
        </w:rPr>
      </w:r>
      <w:r>
        <w:rPr>
          <w:rFonts w:eastAsia="Arial" w:cs="Times New Roman"/>
          <w:szCs w:val="28"/>
          <w:lang w:eastAsia="zh-CN"/>
        </w:rPr>
      </w:r>
    </w:p>
    <w:p>
      <w:pPr>
        <w:pStyle w:val="3460"/>
        <w:ind w:left="0" w:firstLine="709"/>
        <w:spacing w:after="0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Электронная модель необходима для оценки эффективности работы системы теплоснабжения.</w:t>
      </w:r>
      <w:r>
        <w:rPr>
          <w:rFonts w:cs="Times New Roman"/>
          <w:szCs w:val="26"/>
        </w:rPr>
      </w:r>
    </w:p>
    <w:p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Согласно постановлению Правительства РФ №154 от 22.02.2012 г. при разработке схем теплоснабжения поселений с численностью населения до 100 тыс. человек, электронная модель системы теплоснабжения не требуется.</w:t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cs="Times New Roman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39" w:tooltip="file:///D:\Source\Ses\Docs\Оглавление%20том%202%20%20О.М..docx#bookmark46" w:anchor="bookmark46" w:history="1">
        <w:bookmarkStart w:id="57" w:name="_Toc30081847"/>
        <w:bookmarkStart w:id="58" w:name="_Toc30085082"/>
        <w:bookmarkStart w:id="59" w:name="_Toc32845348"/>
        <w:bookmarkStart w:id="60" w:name="_Toc204085700"/>
        <w:r>
          <w:t xml:space="preserve">ГЛАВА 4. СУЩЕСТВУЮЩИЕ И ПЕРСПЕКТИВНЫЕ БАЛАНСЫ ТЕПЛОВОЙ</w:t>
        </w:r>
      </w:hyperlink>
      <w:r>
        <w:t xml:space="preserve"> </w:t>
      </w:r>
      <w:hyperlink r:id="rId40" w:tooltip="file:///D:\Source\Ses\Docs\Оглавление%20том%202%20%20О.М..docx#bookmark46" w:anchor="bookmark46" w:history="1">
        <w:r>
          <w:t xml:space="preserve">МОЩНОСТИ ИСТОЧНИКОВ ТЕПЛОВОЙ ЭНЕРГИИ И ТЕПЛОВОЙ НАГРУЗКИ</w:t>
        </w:r>
        <w:bookmarkEnd w:id="57"/>
        <w:bookmarkEnd w:id="58"/>
        <w:bookmarkEnd w:id="59"/>
        <w:bookmarkEnd w:id="60"/>
        <w:r>
          <w:t xml:space="preserve"> </w:t>
        </w:r>
      </w:hyperlink>
      <w:r/>
      <w:r/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41" w:tooltip="file:///D:\Source\Ses\Docs\Оглавление%20том%202%20%20О.М..docx#bookmark47" w:anchor="bookmark47" w:history="1">
        <w:bookmarkStart w:id="61" w:name="_Toc30081848"/>
        <w:bookmarkStart w:id="62" w:name="_Toc30085083"/>
        <w:bookmarkStart w:id="63" w:name="_Toc32845349"/>
        <w:bookmarkStart w:id="64" w:name="_Toc204085701"/>
        <w:r>
          <w:t xml:space="preserve">Часть 1. БАЛАНСЫ СУЩЕСТВУЮЩЕЙ НА БАЗОВЫЙ ПЕРИОД СХЕМЫ</w:t>
        </w:r>
      </w:hyperlink>
      <w:r>
        <w:t xml:space="preserve"> </w:t>
      </w:r>
      <w:hyperlink r:id="rId42" w:tooltip="file:///D:\Source\Ses\Docs\Оглавление%20том%202%20%20О.М..docx#bookmark47" w:anchor="bookmark47" w:history="1">
        <w:r>
          <w:t xml:space="preserve">ТЕПЛОСНАБЖЕНИЯ (АКТУАЛИЗАЦИИ СХЕМЫ ТЕПЛОСНАБЖЕНИЯ) ТЕПЛОВО</w:t>
        </w:r>
      </w:hyperlink>
      <w:r>
        <w:t xml:space="preserve">Й </w:t>
      </w:r>
      <w:hyperlink r:id="rId43" w:tooltip="file:///D:\Source\Ses\Docs\Оглавление%20том%202%20%20О.М..docx#bookmark47" w:anchor="bookmark47" w:history="1">
        <w:r>
          <w:t xml:space="preserve">МОЩНОСТИ И ПЕРСПЕКТИВНОЙ ТЕПЛОВОЙ НАГРУЗКИ В КАЖДОМ ИЗ ЗОН</w:t>
        </w:r>
      </w:hyperlink>
      <w:r>
        <w:t xml:space="preserve"> </w:t>
      </w:r>
      <w:hyperlink r:id="rId44" w:tooltip="file:///D:\Source\Ses\Docs\Оглавление%20том%202%20%20О.М..docx#bookmark47" w:anchor="bookmark47" w:history="1">
        <w:r>
          <w:t xml:space="preserve">ДЕЙСТВИЯ ИСТОЧНИКОВ ТЕПЛОВОЙ ЭНЕРГИИ С ОПРЕДЕЛЕНИЕМ РЕЗЕРВОВ</w:t>
        </w:r>
      </w:hyperlink>
      <w:r>
        <w:t xml:space="preserve"> </w:t>
      </w:r>
      <w:hyperlink r:id="rId45" w:tooltip="file:///D:\Source\Ses\Docs\Оглавление%20том%202%20%20О.М..docx#bookmark47" w:anchor="bookmark47" w:history="1">
        <w:r>
          <w:t xml:space="preserve">(ДЕФИЦИТОВ) СУЩЕСТВУЮЩЕЙ РАСПОЛАГАЕМОЙ ТЕПЛОВОЙ МОЩНОСТИ</w:t>
        </w:r>
      </w:hyperlink>
      <w:r>
        <w:t xml:space="preserve"> </w:t>
      </w:r>
      <w:hyperlink r:id="rId46" w:tooltip="file:///D:\Source\Ses\Docs\Оглавление%20том%202%20%20О.М..docx#bookmark47" w:anchor="bookmark47" w:history="1">
        <w:r>
          <w:t xml:space="preserve">ИСТОЧНИКОВ ТЕПЛОВОЙ ЭНЕРГИИ, УСТАНАВЛИВАЕМЫХ НА ОСНОВАНИИ</w:t>
        </w:r>
      </w:hyperlink>
      <w:r>
        <w:t xml:space="preserve"> </w:t>
      </w:r>
      <w:hyperlink r:id="rId47" w:tooltip="file:///D:\Source\Ses\Docs\Оглавление%20том%202%20%20О.М..docx#bookmark47" w:anchor="bookmark47" w:history="1">
        <w:r>
          <w:t xml:space="preserve">ВЕЛИЧИН РАСЧЕТНОЙ ТЕПЛОВОЙ НАГРУЗКИ</w:t>
        </w:r>
        <w:bookmarkEnd w:id="61"/>
        <w:bookmarkEnd w:id="62"/>
        <w:bookmarkEnd w:id="63"/>
        <w:bookmarkEnd w:id="64"/>
      </w:hyperlink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widowControl w:val="off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Планируемое потребление тепловой энергии в зонах действия источников теплоснабжения на период 2024 – 2043 годов приведено в таблице 4.1.1.</w:t>
      </w:r>
      <w:r>
        <w:rPr>
          <w:rFonts w:cs="Times New Roman"/>
          <w:szCs w:val="24"/>
        </w:rPr>
      </w:r>
    </w:p>
    <w:p>
      <w:pPr>
        <w:pStyle w:val="728"/>
        <w:ind w:firstLine="709"/>
        <w:jc w:val="both"/>
        <w:rPr>
          <w:rFonts w:cs="Times New Roman"/>
          <w:lang w:eastAsia="ru-RU"/>
        </w:rPr>
      </w:pPr>
      <w:r>
        <w:rPr>
          <w:rFonts w:cs="Times New Roman"/>
          <w:szCs w:val="24"/>
        </w:rPr>
        <w:t xml:space="preserve">Необходимо отметить, что прогнозные показатели носят оценочный характер и могут корректироваться исходя из условий социально-экономического и градостроительного развития муниципального округа.</w:t>
      </w:r>
      <w:r>
        <w:rPr>
          <w:rFonts w:cs="Times New Roman"/>
          <w:lang w:eastAsia="ru-RU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4.1.1 - Существующий и перспективный баланс тепловой мощности и подключенной нагрузки</w:t>
      </w:r>
      <w:r>
        <w:rPr>
          <w:rFonts w:cs="Times New Roman"/>
        </w:rPr>
      </w:r>
    </w:p>
    <w:tbl>
      <w:tblPr>
        <w:tblStyle w:val="729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290"/>
        <w:gridCol w:w="2337"/>
        <w:gridCol w:w="1014"/>
        <w:gridCol w:w="1225"/>
        <w:gridCol w:w="1225"/>
        <w:gridCol w:w="1225"/>
        <w:gridCol w:w="1225"/>
        <w:gridCol w:w="1225"/>
        <w:gridCol w:w="1225"/>
        <w:gridCol w:w="1225"/>
        <w:gridCol w:w="1225"/>
      </w:tblGrid>
      <w:tr>
        <w:tblPrEx/>
        <w:trPr>
          <w:jc w:val="center"/>
          <w:tblHeader/>
        </w:trPr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74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/>
            <w:bookmarkStart w:id="65" w:name="_Hlk204003271"/>
            <w:r>
              <w:rPr>
                <w:rFonts w:eastAsia="Times New Roman" w:cs="Times New Roman"/>
                <w:sz w:val="22"/>
              </w:rPr>
              <w:t xml:space="preserve">Источник тепловой энергии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75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Показатель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Ед. изм.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2025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2026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2027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2029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2030-2034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2035-2043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11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ЕТО-1 </w:t>
            </w:r>
            <w:r>
              <w:rPr>
                <w:rFonts w:eastAsia="Times New Roman" w:cs="Times New Roman"/>
                <w:sz w:val="22"/>
              </w:rPr>
              <w:t xml:space="preserve">АО «МЭС»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"Заполярный"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250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250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250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250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250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250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250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250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223,9500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223,9500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223,9500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223,9500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223,9500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223,9500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223,9500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223,9500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15,1490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15,1490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15,1490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15,1490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15,1490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15,1490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15,1490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15,1490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208,8010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208,8010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208,8010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208,8010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208,8010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208,8010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208,8010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208,8010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123,6829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123,8989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123,8989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123,8989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123,8989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123,8989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123,8989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123,8989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11,8990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11,8990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11,8990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11,8990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11,8990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11,8990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11,8990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11,8990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73,2191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73,0031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73,0031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73,0031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73,0031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73,0031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73,0031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73,0031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32,6944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32,5980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32,5980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32,5980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32,5980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32,5980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32,5980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32,5980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ЭЦ-2 пгт. Никель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188,0800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188,0800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188,0800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188,0800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188,0800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188,0800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188,0800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188,0800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176,6300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176,6300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176,6300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176,6300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176,6300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176,6300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176,6300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176,6300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4,6600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4,6600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4,6600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4,6600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4,6600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4,6600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4,6600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4,6600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171,9700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171,9700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171,9700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171,9700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171,9700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171,9700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171,9700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171,9700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51,5747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51,5747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51,5747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51,5747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51,5747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51,5747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51,5747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51,5747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12,3150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12,3150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12,3150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12,3150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12,3150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12,3150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12,3150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12,3150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108,0804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108,0804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108,0804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108,0804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108,0804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108,0804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108,0804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108,0804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61,1903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61,1903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61,1903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61,1903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61,1903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61,1903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61,1903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61,1903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11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ЕТО-2 ПАО «ТГК-1»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Электрокотельная "К-15" нп. Раякоски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0,6872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0,6572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0,6572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0,6572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0,6572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0,6572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0,6572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0,6572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0,6572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0,3844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0,2628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38,2372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38,2372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38,2372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38,2372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38,2372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38,2372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38,2372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38,2372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Электрокотельная "М-4" нп. Раякоски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0,2577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0,2477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0,2477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0,2477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0,2477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0,2477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0,2477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0,2477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0,2477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0,1677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65,0757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65,0757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65,0757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65,0757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65,0757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65,0757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65,0757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65,0757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11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ЕТО-3 </w:t>
            </w: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13/55 пгт. Печенга, ш. Печенгское 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5,9740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0,1250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5,8490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5,8490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1,9552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1,9552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1,9552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1,9552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1,9552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1,9552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1,9552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1,9552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3,4868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3,4868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3,7228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3,7228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3,7228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3,7228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3,7228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3,7228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58,3667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58,3667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62,3172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62,3172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62,3172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62,3172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62,3172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62,3172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13/73 пгт. Печенга, ул. Стадионная 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5,0180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5,0180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5,0180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5,0180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5,0180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5,0180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5,0180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5,0180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2,1844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2,1844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2,1844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2,1844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2,1844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2,1844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2,1844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2,1844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2,2836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2,2836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2,6026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2,6026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2,6026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2,6026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2,6026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2,6026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44,2552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44,2552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50,4373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50,4373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50,4373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50,4373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50,4373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50,4373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42/138 нп. Спутник (в.г. №42)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12,8900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0,1360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12,7540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12,7540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12,7540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12,7540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12,7540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12,7540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12,7540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12,7540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5,1550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5,1550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5,1550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5,1550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5,1550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5,1550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5,1550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5,1550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1,3930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1,3930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0,5910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0,5910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0,5910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0,5910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0,5910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0,5910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6,2060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6,2060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7,0080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7,0080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7,0080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7,0080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7,0080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7,0080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48,1456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48,1456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54,3675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54,3675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54,3675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54,3675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54,3675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54,3675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4/152 ж/д ст. Печенга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4,1820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4,1820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4,1820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4,1820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4,1820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4,1820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4,1820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4,1820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2,3448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2,3448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2,3448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2,3448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2,3448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2,3448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2,3448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2,3448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0,4580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0,4580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0,1920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0,1920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0,1920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0,1920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0,1920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0,1920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1,3792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1,3792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1,6452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32,0737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32,0737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38,2598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38,2598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38,2598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38,2598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38,2598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38,2598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3 нп. Лиинахамари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6,0380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0,2320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5,8060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1,6927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1,6927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1,6927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1,6927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1,6927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1,6927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1,6927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1,6927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0,4670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3,6463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3,6463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3,6463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3,6463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3,6463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3,6463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3,6463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3,6463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60,3889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60,3889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60,3889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60,3889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60,3889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60,3889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60,3889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60,3889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15/146 нп. Луостари, ул. Верхняя (в.г. №15)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6,7700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0,2230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0,2230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0,2230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0,2230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0,2230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0,2230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0,2230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0,2230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6,5470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6,5470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6,5470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6,5470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6,5470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6,5470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6,5470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6,5470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1,3636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1,3636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1,3636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1,3636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1,3636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1,3636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1,3636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1,3636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4,1224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4,1224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4,1224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4,1224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4,1224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4,1224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4,1224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4,1224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60,8922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60,8922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60,8922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60,8922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60,8922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60,8922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60,8922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60,8922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5/149 нп. Луостари, ул. Нижняя (в.г. №5)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10,4060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0,1410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10,2650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3,1790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0,6700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6,4160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6,4160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6,4160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6,4160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6,4160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6,4160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6,4160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6,4160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61,6567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61,6567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61,6567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61,6567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61,6567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61,6567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61,6567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61,6567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7,2180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6,9660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6,9660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6,9660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6,9660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6,9660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6,9660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6,9660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6,9660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1,1801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1,1801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1,1801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1,1801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1,1801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1,1801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1,1801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1,1801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4,5869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4,5869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4,5869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4,5869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4,5869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4,5869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4,5869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4,5869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63,5481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63,5481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63,5481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63,5481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63,5481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63,5481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63,5481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63,5481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7,3190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7,0670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1,5300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1,1990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4,3380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59,2704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59,2704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59,2704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59,2704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59,2704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59,2704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59,2704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59,2704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11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ЕТО-4 ООО «Теплонорд»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51 нп. Корзуново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1,2860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2,5640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0,0650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2,4990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2,4990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0,7493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0,7493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0,7493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0,7493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0,7493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0,7493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0,7493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0,7493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1,5907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1,5907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1,5907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1,5907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1,5907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1,5907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1,5907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1,5907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62,0398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62,0398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62,0398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62,0398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62,0398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62,0398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62,0398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62,0398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№2/44 пгт Печенга (в.г. №2)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1,1790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0,1195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1,0495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1,0495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1,0495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1,0495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1,0495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1,0495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1,0495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1,0495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87,4583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87,4583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87,4583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87,4583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87,4583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87,4583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87,4583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87,4583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(19 км)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2,4390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2,4390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2,4390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2,4390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2,4390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2,4390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2,4390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2,4390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2,2855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2,2855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2,2855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2,2855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2,2855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2,2855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2,2855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2,2855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92,9065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92,9065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92,9065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92,9065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92,9065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92,9065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92,9065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92,9065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(19 км)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1,2790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1,2790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0,0622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1,2168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1,2168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1,2168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1,2168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1,2168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1,2168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1,2168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1,2168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93,6000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93,6000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93,6000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93,6000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93,6000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93,6000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93,6000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93,6000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№31/44 н.п. Луостари (в.г. №31)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0,0070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1,6330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1,6330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1,6330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1,6330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1,6330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1,6330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1,6330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1,6330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0,2609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1,3621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83,0549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83,0549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83,0549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83,0549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83,0549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83,0549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83,0549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83,0549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gridSpan w:val="11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ЕТО-5 </w:t>
            </w: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№9/49 пгт. Печенга (в.г. №9)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2,7000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2,5400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1,8300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67,7778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67,7778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67,7778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67,7778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67,7778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67,7778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67,7778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67,7778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№25/52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0,4300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83,7209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83,7209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83,7209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83,7209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83,7209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83,7209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83,7209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83,7209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№18/65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2,8800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2,8100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0,9300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0,4800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1,4000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48,6111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48,6111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48,6111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48,6111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48,6111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48,6111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48,6111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48,6111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№13/66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0,9500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0,7700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77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77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77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77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77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77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77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77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№69/6 н.п.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Вайда-Губа (в.г. №69)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0,3430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1,0670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62,3977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62,3977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62,3977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62,3977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62,3977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62,3977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62,3977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62,3977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№38/86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№38)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0,3000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12,5000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12,5000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12,5000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12,5000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12,5000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12,5000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12,5000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12,5000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№21/90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0,0700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1,6400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1,6200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0,5848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0,5848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0,5848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0,5848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0,5848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0,5848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0,5848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0,5848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12,2220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12,1620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12,1620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12,1620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12,1620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12,1620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12,1620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12,1620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12,1620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1,8400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9,8720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9,8720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9,8720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9,8720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9,8720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9,8720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9,8720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9,8720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80,7724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80,7724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80,7724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80,7724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80,7724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80,7724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80,7724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80,7724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0,5200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0,4900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0,4200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80,7692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80,7692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80,7692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80,7692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80,7692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80,7692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80,7692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80,7692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№12/150 н.п. Спутник (в.г. №12)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1,6810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0,0800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1,6010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1,6010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0,4600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1,1210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1,1210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66,6865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66,6865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66,6865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66,6865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66,6865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66,6865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66,6865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66,6865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0,1280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0,1160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84,0580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84,0580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84,0580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84,0580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84,0580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84,0580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84,0580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84,0580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№25)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1,7400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0,1300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1,6100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75,2874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75,2874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75,2874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75,2874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75,2874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75,2874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75,2874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75,2874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№21/172 пгт. Печенга 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0,2120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0,2020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0,2020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0,2020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0,2020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0,2020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0,2020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0,2020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0,2020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0,0200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0,1720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81,1321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81,1321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81,1321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81,1321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81,1321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81,1321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81,1321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81,1321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№38/177 пгт. Печенга (в.г. №38)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1,3250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1,2650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1,2650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0,0670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0,0300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1,1680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1,1680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1,1680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1,1680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1,1680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1,1680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1,1680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1,1680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88,1509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88,1509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88,1509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88,1509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88,1509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88,1509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88,1509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88,1509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42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№42)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Установленная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Располагаемая тепловая мощность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0,1030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Расход тепла на собственные нужды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0,0100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мощность нетто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0,0930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Тепловая нагрузка потребителей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0,0430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0,0430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Потери в тепловых сетях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</w:t>
            </w:r>
            <w:r>
              <w:rPr>
                <w:rFonts w:eastAsia="Times New Roman" w:cs="Times New Roman"/>
                <w:sz w:val="22"/>
              </w:rPr>
              <w:t xml:space="preserve">,00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757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Резерв(+)/Дефицит(-) источника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0,0500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742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757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%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48,5437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48,5437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48,5437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48,5437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48,5437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48,5437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48,5437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3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48,5437</w:t>
            </w:r>
            <w:bookmarkEnd w:id="65"/>
            <w:r>
              <w:rPr>
                <w:rFonts w:cs="Times New Roman"/>
              </w:rPr>
            </w:r>
          </w:p>
        </w:tc>
      </w:tr>
    </w:tbl>
    <w:p>
      <w:pPr>
        <w:pStyle w:val="728"/>
        <w:jc w:val="center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pStyle w:val="728"/>
        <w:jc w:val="center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rPr>
          <w:rFonts w:cs="Times New Roman"/>
        </w:rPr>
        <w:sectPr>
          <w:footnotePr/>
          <w:endnotePr/>
          <w:type w:val="nextPage"/>
          <w:pgSz w:w="16838" w:h="11906" w:orient="landscape"/>
          <w:pgMar w:top="1134" w:right="678" w:bottom="1134" w:left="709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48" w:tooltip="file:///D:\Source\Ses\Docs\Оглавление%20том%202%20%20О.М..docx#bookmark51" w:anchor="bookmark51" w:history="1">
        <w:bookmarkStart w:id="66" w:name="_Toc45625216"/>
        <w:bookmarkStart w:id="67" w:name="_Toc204085702"/>
        <w:r>
          <w:t xml:space="preserve">Часть 2. ГИДРАВЛИЧЕСКИЙ РАСЧЕТ ПЕРЕДАЧИ ТЕПЛОНОСИТЕЛЯ ДЛЯ КАЖДОГО</w:t>
        </w:r>
      </w:hyperlink>
      <w:r>
        <w:t xml:space="preserve"> </w:t>
      </w:r>
      <w:hyperlink r:id="rId49" w:tooltip="file:///D:\Source\Ses\Docs\Оглавление%20том%202%20%20О.М..docx#bookmark51" w:anchor="bookmark51" w:history="1">
        <w:r>
          <w:t xml:space="preserve">МАГИСТРАЛЬНОГО ВЫВОДА</w:t>
        </w:r>
        <w:bookmarkEnd w:id="66"/>
      </w:hyperlink>
      <w:r>
        <w:t xml:space="preserve">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bookmarkEnd w:id="67"/>
      <w:r/>
      <w:r/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Проведённый анализ показал, что на прогнозный период у тепловых сетей резерв по пропускной способности сохранится. </w:t>
      </w:r>
      <w:r>
        <w:rPr>
          <w:rFonts w:cs="Times New Roman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50" w:tooltip="file:///D:\Source\Ses\Docs\Оглавление%20том%202%20%20О.М..docx#bookmark55" w:anchor="bookmark55" w:history="1">
        <w:bookmarkStart w:id="68" w:name="_Toc30081856"/>
        <w:bookmarkStart w:id="69" w:name="_Toc30085091"/>
        <w:bookmarkStart w:id="70" w:name="_Toc32845357"/>
        <w:bookmarkStart w:id="71" w:name="_Toc204085703"/>
        <w:r>
          <w:t xml:space="preserve">Часть 3. ВЫВОДЫ О РЕЗЕРВАХ (ДЕФИЦИТАХ) СУЩЕСТВУЮЩЕЙ СИСТЕМЫ</w:t>
        </w:r>
      </w:hyperlink>
      <w:r>
        <w:t xml:space="preserve"> </w:t>
      </w:r>
      <w:hyperlink r:id="rId51" w:tooltip="file:///D:\Source\Ses\Docs\Оглавление%20том%202%20%20О.М..docx#bookmark55" w:anchor="bookmark55" w:history="1">
        <w:r>
          <w:t xml:space="preserve">ТЕПЛОСНАБЖЕНИЯ ПРИ ОБЕСПЕЧЕНИИ ПЕРСПЕКТИВНОЙ ТЕПЛОВОЙ НАГРУЗКИ</w:t>
        </w:r>
      </w:hyperlink>
      <w:r>
        <w:t xml:space="preserve"> </w:t>
      </w:r>
      <w:hyperlink r:id="rId52" w:tooltip="file:///D:\Source\Ses\Docs\Оглавление%20том%202%20%20О.М..docx#bookmark55" w:anchor="bookmark55" w:history="1">
        <w:r>
          <w:t xml:space="preserve">ПОТРЕБИТЕЛЕЙ</w:t>
        </w:r>
        <w:bookmarkEnd w:id="68"/>
        <w:bookmarkEnd w:id="69"/>
        <w:bookmarkEnd w:id="70"/>
        <w:bookmarkEnd w:id="71"/>
      </w:hyperlink>
      <w:r/>
      <w:r/>
    </w:p>
    <w:p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В процессе формирования балансов тепловой мощности и тепловой нагрузки в зонах действия источников тепловой энергии Печенгского муниципального округа</w:t>
      </w:r>
      <w:r>
        <w:rPr>
          <w:rFonts w:cs="Times New Roman"/>
          <w:szCs w:val="26"/>
        </w:rPr>
        <w:t xml:space="preserve"> установле</w:t>
      </w:r>
      <w:r>
        <w:rPr>
          <w:rFonts w:cs="Times New Roman"/>
        </w:rPr>
        <w:t xml:space="preserve">но, что их мощность является избыточной. Дефициты тепловой мощности на котельных отсутствуют.</w:t>
      </w:r>
      <w:r>
        <w:rPr>
          <w:rFonts w:cs="Times New Roman"/>
        </w:rPr>
      </w:r>
    </w:p>
    <w:p>
      <w:pPr>
        <w:pStyle w:val="728"/>
        <w:ind w:firstLine="709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Часть 4. </w:t>
      </w:r>
      <w:bookmarkStart w:id="72" w:name="OLE_LINK203"/>
      <w:r/>
      <w:bookmarkStart w:id="73" w:name="OLE_LINK204"/>
      <w:r/>
      <w:bookmarkStart w:id="74" w:name="OLE_LINK205"/>
      <w:r>
        <w:rPr>
          <w:rFonts w:eastAsia="Times New Roman" w:cs="Times New Roman"/>
          <w:b/>
          <w:bCs/>
          <w:szCs w:val="24"/>
          <w:lang w:eastAsia="ru-RU"/>
        </w:rPr>
        <w:t xml:space="preserve">ОПИСАНИЕ ИЗМЕНЕНИЙ СУЩЕСТВУЮЩИХ И ПЕРСПЕКТИВНЫХ БАЛАНСОВ </w:t>
      </w:r>
      <w:bookmarkEnd w:id="72"/>
      <w:r/>
      <w:bookmarkEnd w:id="73"/>
      <w:r/>
      <w:bookmarkEnd w:id="74"/>
      <w:r>
        <w:rPr>
          <w:rFonts w:eastAsia="Times New Roman" w:cs="Times New Roman"/>
          <w:b/>
          <w:bCs/>
          <w:szCs w:val="24"/>
          <w:lang w:eastAsia="ru-RU"/>
        </w:rPr>
        <w:t xml:space="preserve">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r>
        <w:rPr>
          <w:rFonts w:eastAsia="Times New Roman" w:cs="Times New Roman"/>
          <w:b/>
          <w:bCs/>
          <w:szCs w:val="24"/>
          <w:lang w:eastAsia="ru-RU"/>
        </w:rPr>
      </w:r>
    </w:p>
    <w:p>
      <w:pPr>
        <w:pStyle w:val="728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4.4.1 - Изменения в балансах тепловой мощности и тепловой нагрузке</w:t>
      </w:r>
      <w:r>
        <w:rPr>
          <w:rFonts w:cs="Times New Roman"/>
        </w:rPr>
      </w:r>
    </w:p>
    <w:tbl>
      <w:tblPr>
        <w:tblStyle w:val="729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193"/>
        <w:gridCol w:w="1996"/>
        <w:gridCol w:w="1579"/>
        <w:gridCol w:w="1996"/>
        <w:gridCol w:w="1581"/>
      </w:tblGrid>
      <w:tr>
        <w:tblPrEx/>
        <w:trPr>
          <w:jc w:val="center"/>
          <w:tblHeader/>
        </w:trPr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173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Показатель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91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Существующий баланс, Гкал/ч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91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Перспективный баланс, Гкал/ч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blHeader/>
        </w:trPr>
        <w:tc>
          <w:tcPr>
            <w:tcW w:w="1173" w:type="pct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Предшествующий актуализации схемы теплоснабжения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На момент актуализации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Предшествующий актуализации схемы теплоснабжения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На момент актуализации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АО «МЭС»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"Заполярный"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208,801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208,8010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208,8010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208,8010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123,632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123,6829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123,8989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123,8989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11,899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11,8990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11,8990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11,8990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73,27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73,2191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73,0031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73,0031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ЭЦ-2 пгт. Никель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171,97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171,9700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171,97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171,9700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51,705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51,705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51,5747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12,315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12,3150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12,315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12,3150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107,95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108,0804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107,95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108,0804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ПАО «ТГК-1»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Электрокотельная "К-15" нп. Раякоски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0,66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0,6572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0,66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0,6572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0,351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0,351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0,3844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0,011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0,011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0,298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0,2628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0,298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0,2628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Электрокотельная "М-4" нп. Раякоски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0,25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0,2477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0,25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0,2477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0,077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0,077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0,0700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0,103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0,1677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0,103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0,1677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«Теплонорд»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51 нп. Корзуново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2,399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2,4990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2,399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2,4990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0,77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0,77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0,7493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0,159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0,159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0,1590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1,469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1,5907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1,469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1,5907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№2/44 пгт Печенга (в.г. №2)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1,179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1,179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1,1790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0,157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0,157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0,1195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1,012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1,0495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1,012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1,0495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(19 км) (в.г. №4)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2,439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2,4390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2,439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2,4390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0,144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0,144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0,1035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2,245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2,2855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2,245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2,2855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(19 км) (в.г. №4)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1,279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1,279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1,2790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0,078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0,078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0,0622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1,201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1,2168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1,201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1,2168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№31/44 н.п. Луостари (в.г. №31)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1,64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1,6330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1,64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1,6330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0,28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0,28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0,2609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0,01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1,35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1,3621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1,35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1,3621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13/55 пгт. Печенга, ш. Печенгское (в.г. №13)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5,813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5,8490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5,813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5,8490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1,25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1,25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1,9552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0,407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0,4070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0,407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0,1710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4,156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3,4868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4,156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3,7228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13/73 пгт. Печенга, ул. Стадионная (в.г. №13)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5,018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5,0180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5,018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5,0180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2,38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2,38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2,1844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0,55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0,55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0,2310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2,088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2,2836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2,088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2,6026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42/138 нп. Спутник (в.г. №42)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12,754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12,7540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12,754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12,7540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4,402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4,402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5,1550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1,393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1,393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0,5910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6,959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6,2060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6,959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7,0080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4/152 ж/д ст. Печенга (в.г. №4)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4,182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4,1820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4,182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4,1820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2,386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2,386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2,3448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0,458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0,4580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0,458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0,1920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1,338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1,3792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1,338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1,6452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3 нп. Лиинахамари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6,368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5,8060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6,368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5,8060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1,69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1,69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1,6927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0,467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0,467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4,212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3,6463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4,212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3,6463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15/146 нп. Луостари, ул. Верхняя (в.г. №15)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6,547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6,5470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6,547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6,5470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1,61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1,61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1,3636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1,061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1,0610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1,061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1,0610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3,876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4,1224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3,876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4,1224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5/149 нп. Луостари, ул. Нижняя (в.г. №5)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10,265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10,2650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10,265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10,2650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1,86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3,1790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0,67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0,67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0,6700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7,735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6,4160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7,735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6,4160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№15)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7,067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6,9660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7,067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6,9660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0,82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0,82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1,1801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1,199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1,1990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1,199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1,1990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5,048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4,5869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5,048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4,5869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№5)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8,688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8,688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7,0670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0,82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0,82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1,5300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1,199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1,1990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1,199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1,1990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6,668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4,3380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6,668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4,3380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dbe5f1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№9/49 пгт. Печенга (в.г. №9)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2,5400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2,5400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1,8300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№25/52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№25)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0,3600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№18/65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№18)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2,8100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2,8100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2,8100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2,8100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0,9300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0,4800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0,4800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1,4000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№13/66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№13)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0,9500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0,1600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0,7700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0,7700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№69/6 н.п.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Вайда-Губа (в.г. №69)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0,3430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1,0670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№38/86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№38)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0,3000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№21/90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№21)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1,6400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1,6200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№21)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12,1620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12,1620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12,1620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12,1620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1,8400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9,8720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9,8720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9,8720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9,8720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№21)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0,4900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0,4900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0,4900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0,4900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0,4200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№12/150 н.п. Спутник (в.г. №12)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1,6010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1,6010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1,6010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1,6010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0,4600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1,1210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1,1210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1,1210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1,1210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№12)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0,1280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0,0120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0,1160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0,1160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№25)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№21/172 пгт. Печенга (в.г. №21)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0,2020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0,2020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0,2020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0,2020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0,0200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0,0100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0,1720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0,1720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0,1720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0,1720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№38/177 пгт. Печенга (в.г. №38)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1,2650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1,2650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0,0670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0,0300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0,0300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1,1680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1,1680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1,1680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1,1680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gridSpan w:val="5"/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50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№42)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Мощность нетто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Тепловая нагрузка потребителей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0,0430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Потери в тепловых сетях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173" w:type="pct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Резерв(+)/Дефицит(-) источника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0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84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0,0500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728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pStyle w:val="717"/>
        <w:ind w:left="0" w:firstLine="0"/>
      </w:pPr>
      <w:r/>
      <w:hyperlink r:id="rId53" w:tooltip="file:///D:\Source\Ses\Docs\Оглавление%20том%202%20%20О.М..docx#bookmark59" w:anchor="bookmark59" w:history="1">
        <w:bookmarkStart w:id="75" w:name="_Toc30081860"/>
        <w:bookmarkStart w:id="76" w:name="_Toc30085095"/>
        <w:bookmarkStart w:id="77" w:name="_Toc32845361"/>
        <w:bookmarkStart w:id="78" w:name="_Toc204085704"/>
        <w:r>
          <w:t xml:space="preserve">ГЛАВА 5. МАСТЕР-ПЛАН</w:t>
        </w:r>
        <w:r>
          <w:t xml:space="preserve"> </w:t>
        </w:r>
        <w:r>
          <w:t xml:space="preserve">РАЗВИТИЯ</w:t>
        </w:r>
        <w:r>
          <w:t xml:space="preserve"> </w:t>
        </w:r>
        <w:r>
          <w:t xml:space="preserve">СИСТЕМ</w:t>
        </w:r>
        <w:r>
          <w:t xml:space="preserve"> </w:t>
        </w:r>
        <w:r>
          <w:t xml:space="preserve">ТЕПЛОСНАБЖЕНИЯ</w:t>
        </w:r>
        <w:r>
          <w:t xml:space="preserve"> </w:t>
        </w:r>
        <w:r>
          <w:t xml:space="preserve">ПОСЕЛЕНИЯ,</w:t>
        </w:r>
      </w:hyperlink>
      <w:r>
        <w:t xml:space="preserve"> </w:t>
      </w:r>
      <w:hyperlink r:id="rId54" w:tooltip="file:///D:\Source\Ses\Docs\Оглавление%20том%202%20%20О.М..docx#bookmark59" w:anchor="bookmark59" w:history="1">
        <w:r>
          <w:t xml:space="preserve">ГОРОДСКОГО ОКРУГА</w:t>
        </w:r>
        <w:bookmarkEnd w:id="75"/>
        <w:bookmarkEnd w:id="76"/>
        <w:bookmarkEnd w:id="77"/>
        <w:bookmarkEnd w:id="78"/>
      </w:hyperlink>
      <w:r/>
      <w:r/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55" w:tooltip="file:///D:\Source\Ses\Docs\Оглавление%20том%202%20%20О.М..docx#bookmark60" w:anchor="bookmark60" w:history="1">
        <w:bookmarkStart w:id="79" w:name="_Toc30081861"/>
        <w:bookmarkStart w:id="80" w:name="_Toc30085096"/>
        <w:bookmarkStart w:id="81" w:name="_Toc32845362"/>
        <w:bookmarkStart w:id="82" w:name="_Toc204085705"/>
        <w:r>
          <w:t xml:space="preserve">Часть 1. ОПИСАНИЕ ВАРИАНТОВ ПЕРСПЕКТИВНОГО РАЗВИТИЯ СИСТЕМ</w:t>
        </w:r>
      </w:hyperlink>
      <w:r>
        <w:t xml:space="preserve"> </w:t>
      </w:r>
      <w:hyperlink r:id="rId56" w:tooltip="file:///D:\Source\Ses\Docs\Оглавление%20том%202%20%20О.М..docx#bookmark60" w:anchor="bookmark60" w:history="1">
        <w:r>
          <w:t xml:space="preserve">ТЕПЛОСНАБЖЕНИЯ ПОСЕЛЕНИЯ, ГОРОДСКОГО ОКРУГА, ГОРОДА ФЕДЕРАЛЬНОГО</w:t>
        </w:r>
      </w:hyperlink>
      <w:r>
        <w:t xml:space="preserve"> </w:t>
      </w:r>
      <w:hyperlink r:id="rId57" w:tooltip="file:///D:\Source\Ses\Docs\Оглавление%20том%202%20%20О.М..docx#bookmark60" w:anchor="bookmark60" w:history="1">
        <w:r>
          <w:t xml:space="preserve">ЗНАЧЕНИЯ (В СЛУЧАЕ ИХ ИЗМЕНЕНИЯ ОТНОСИТЕЛЬНО РАНЕЕ ПРИНЯТОГО</w:t>
        </w:r>
      </w:hyperlink>
      <w:r>
        <w:t xml:space="preserve"> </w:t>
      </w:r>
      <w:hyperlink r:id="rId58" w:tooltip="file:///D:\Source\Ses\Docs\Оглавление%20том%202%20%20О.М..docx#bookmark60" w:anchor="bookmark60" w:history="1">
        <w:r>
          <w:t xml:space="preserve">ВАРИАНТА РАЗВИТИЯ СИСТЕМ ТЕПЛОСНАБЖЕНИЯ В УТВЕРЖДЕННОЙ В</w:t>
        </w:r>
      </w:hyperlink>
      <w:r>
        <w:t xml:space="preserve"> </w:t>
      </w:r>
      <w:hyperlink r:id="rId59" w:tooltip="file:///D:\Source\Ses\Docs\Оглавление%20том%202%20%20О.М..docx#bookmark60" w:anchor="bookmark60" w:history="1">
        <w:r>
          <w:t xml:space="preserve">УСТАНОВЛЕННОМ ПОРЯДКЕ СХЕМЕ ТЕПЛОСНАБЖЕНИЯ)</w:t>
        </w:r>
        <w:bookmarkEnd w:id="79"/>
        <w:bookmarkEnd w:id="80"/>
        <w:bookmarkEnd w:id="81"/>
        <w:bookmarkEnd w:id="82"/>
        <w:r>
          <w:t xml:space="preserve"> </w:t>
        </w:r>
      </w:hyperlink>
      <w:r/>
      <w:r/>
    </w:p>
    <w:p>
      <w:pPr>
        <w:jc w:val="both"/>
        <w:rPr>
          <w:rFonts w:cs="Times New Roman"/>
          <w:sz w:val="22"/>
          <w:lang w:eastAsia="ru-RU"/>
        </w:rPr>
      </w:pPr>
      <w:r>
        <w:rPr>
          <w:rFonts w:cs="Times New Roman"/>
          <w:sz w:val="22"/>
          <w:lang w:eastAsia="ru-RU"/>
        </w:rPr>
      </w:r>
      <w:r>
        <w:rPr>
          <w:rFonts w:cs="Times New Roman"/>
          <w:sz w:val="22"/>
          <w:lang w:eastAsia="ru-RU"/>
        </w:rPr>
      </w:r>
    </w:p>
    <w:p>
      <w:pPr>
        <w:ind w:firstLine="709"/>
        <w:jc w:val="both"/>
        <w:spacing w:after="120"/>
        <w:rPr>
          <w:rFonts w:cs="Times New Roman"/>
          <w:szCs w:val="24"/>
        </w:rPr>
      </w:pPr>
      <w:r/>
      <w:bookmarkStart w:id="83" w:name="_Hlk204006303"/>
      <w:r/>
      <w:bookmarkStart w:id="84" w:name="_Hlk204006286"/>
      <w:r>
        <w:rPr>
          <w:rFonts w:cs="Times New Roman"/>
          <w:szCs w:val="24"/>
        </w:rPr>
        <w:t xml:space="preserve">Настоящей Схемой теплоснабжения в отношении источников тепловой энергии и тепловых сетей Печенгского муниципального округа предлагаются следующие сценарии (варианты) развития (таблица 5.1.1).</w:t>
      </w:r>
      <w:r>
        <w:rPr>
          <w:rFonts w:cs="Times New Roman"/>
          <w:szCs w:val="24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spacing w:after="120"/>
        <w:rPr>
          <w:rFonts w:cs="Times New Roman"/>
          <w:b/>
        </w:rPr>
      </w:pPr>
      <w:r>
        <w:rPr>
          <w:rFonts w:cs="Times New Roman"/>
          <w:b/>
        </w:rPr>
        <w:t xml:space="preserve">Таблица 5.1.1 - </w:t>
      </w:r>
      <w:r>
        <w:rPr>
          <w:rFonts w:cs="Times New Roman"/>
          <w:b/>
          <w:szCs w:val="24"/>
        </w:rPr>
        <w:t xml:space="preserve">Сценарии (варианты) развития систем теплоснабжения</w:t>
      </w:r>
      <w:r>
        <w:rPr>
          <w:rFonts w:cs="Times New Roman"/>
          <w:b/>
        </w:rPr>
      </w:r>
    </w:p>
    <w:tbl>
      <w:tblPr>
        <w:tblStyle w:val="1702"/>
        <w:tblW w:w="9720" w:type="dxa"/>
        <w:tblLook w:val="0600" w:firstRow="0" w:lastRow="0" w:firstColumn="0" w:lastColumn="0" w:noHBand="1" w:noVBand="1"/>
      </w:tblPr>
      <w:tblGrid>
        <w:gridCol w:w="5495"/>
        <w:gridCol w:w="2410"/>
        <w:gridCol w:w="1815"/>
      </w:tblGrid>
      <w:tr>
        <w:tblPrEx/>
        <w:trPr>
          <w:trHeight w:val="449"/>
          <w:tblHeader/>
        </w:trPr>
        <w:tc>
          <w:tcPr>
            <w:shd w:val="clear" w:color="auto" w:fill="f2f2f2" w:themeFill="background1" w:themeFillShade="F2"/>
            <w:tcW w:w="54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/>
            <w:bookmarkStart w:id="85" w:name="_Hlk204006326"/>
            <w:r/>
            <w:bookmarkEnd w:id="83"/>
            <w:r>
              <w:rPr>
                <w:rFonts w:cs="Times New Roman"/>
                <w:sz w:val="20"/>
              </w:rPr>
              <w:t xml:space="preserve">Наименование мероприятия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 w:themeFill="background1" w:themeFillShade="F2"/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Номер варианта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 w:themeFill="background1" w:themeFillShade="F2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Срок внедрения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п.г.т. Никель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Сохранятся действующая система теплоснабжения: котельная ЭЦ-2 на мазуте и присоединённые к ней тепловые сети, с реализацией мероприятий по их текущему и капитальному ремонту. 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Строительство тепловых се</w:t>
            </w:r>
            <w:r>
              <w:rPr>
                <w:rFonts w:cs="Times New Roman"/>
                <w:sz w:val="20"/>
              </w:rPr>
              <w:t xml:space="preserve">тей и нового источника тепловой энергии мощностью 51,6 Гкал/ч (согласно ген. план). Реконструкция котельной на мазуте с возможностью перехода на газ, присоединённые к ней тепловые сети, с реализацией мероприятий по реконструкции котельной и тепловых сетей.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 г. Заполярный 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Сохранятся действующая система теплоснабжения: котельная на мазуте и присоединённые к ней тепловые сети, с реализацией мероприятий по их текущему и капитальному ремонту. 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Реконструкция котельной на мазуте с возможностью перехода на газ, присоединённые к ней тепловые сети, с реализацией мероприятий по строительству и реконструкции котельной и тепловых сетей.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  <w:lang w:bidi="ru-RU"/>
              </w:rPr>
              <w:t xml:space="preserve">п.г.т. Печенга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 и присоединённые к ним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Строительство тепловых сетей и нового источника тепловой энергии мощностью 5,2 Гкал/ч (согласно ген. план). Реконструкция существующих котельных с возможностью перехода на газ. Мероприятия по текущему и капитальному ремонту тепловых сетей.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н.п. Спутник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 и присоединённые к ним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теплоснабжения. Реконструкция существующих котельных с возможностью перехода на газ. Мероприятия по текущему и капитальному ремонту тепловых сетей.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н.п. Раякоски 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теплоснабжения: котельные №№ К-15 и М-4 и присоединённые к ним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Котельные №№ К-15 и М-4 – реконструкция с возможностью перехода на газ. Тепловые сети, присоединённые к данным котельным, поддерживаются в технически исправном состоянии за счёт реализации мероприятий по текущему и/или капитальному ремонтам.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н.п. Лиинахамари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Сохраняется действующая система теплоснабжения: котельная №3 и присоединённые к ней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№3 –реконструкция с возможностью перехода на газ. Тепловые сети, присоединённые к данной котельной, поддерживаются в технически исправном состоянии за счёт реализации мероприятий по текущему и/или капитальному ремонтам.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20" w:type="dxa"/>
            <w:vAlign w:val="center"/>
            <w:textDirection w:val="lrTb"/>
            <w:noWrap w:val="false"/>
          </w:tcPr>
          <w:p>
            <w:pPr>
              <w:pStyle w:val="3462"/>
              <w:spacing w:before="0" w:beforeAutospacing="0" w:after="0" w:afterAutospacing="0"/>
              <w:rPr>
                <w:bCs w:val="0"/>
              </w:rPr>
              <w:pBdr>
                <w:left w:val="none" w:color="000000" w:sz="0" w:space="0"/>
                <w:right w:val="none" w:color="000000" w:sz="0" w:space="0"/>
              </w:pBdr>
            </w:pPr>
            <w:r>
              <w:rPr>
                <w:bCs w:val="0"/>
              </w:rPr>
              <w:t xml:space="preserve">н.п. Л</w:t>
            </w:r>
            <w:r>
              <w:rPr>
                <w:bCs w:val="0"/>
              </w:rPr>
              <w:t xml:space="preserve">у</w:t>
            </w:r>
            <w:r>
              <w:rPr>
                <w:bCs w:val="0"/>
              </w:rPr>
              <w:t xml:space="preserve">о</w:t>
            </w:r>
            <w:r>
              <w:rPr>
                <w:bCs w:val="0"/>
              </w:rPr>
              <w:t xml:space="preserve">стари</w:t>
            </w:r>
            <w:r>
              <w:rPr>
                <w:bCs w:val="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теплоснабжения: котельные и присоединённые к ним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теплоснабжения. Реконструкция существующих котельных с возможностью перехода на газ.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н.п. Корзуново 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Сохраняется действующая система теплоснабжения: котельная №51 и присоединённые к ней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№51 –реконструкция с возмож</w:t>
            </w:r>
            <w:r>
              <w:rPr>
                <w:rFonts w:cs="Times New Roman"/>
                <w:sz w:val="20"/>
              </w:rPr>
              <w:t xml:space="preserve">ностью перехода на газ. Тепловые сети, присоединённые к данной котельной, поддерживаются в технически исправном состоянии за счёт реализации мероприятий по текущему и/или капитальному ремонтам. Мероприятия по текущему и капитальному ремонту тепловых сетей.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7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н.п. Вайда-Губа, ж/д ст. Печенга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426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теплоснабжения: котельные и присоединённые к ним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5495" w:type="dxa"/>
            <w:vAlign w:val="center"/>
            <w:textDirection w:val="lrTb"/>
            <w:noWrap w:val="false"/>
          </w:tcPr>
          <w:p>
            <w:pPr>
              <w:ind w:firstLine="314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теплоснабжения. Реконструкция существующих котельных с возможностью перехода на газ.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2025 - 2043 годы</w:t>
            </w:r>
            <w:bookmarkEnd w:id="84"/>
            <w:bookmarkEnd w:id="85"/>
            <w:r>
              <w:rPr>
                <w:rFonts w:cs="Times New Roman"/>
                <w:sz w:val="20"/>
              </w:rPr>
            </w:r>
          </w:p>
        </w:tc>
      </w:tr>
    </w:tbl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60" w:tooltip="file:///D:\Source\Ses\Docs\Оглавление%20том%202%20%20О.М..docx#bookmark61" w:anchor="bookmark61" w:history="1">
        <w:bookmarkStart w:id="86" w:name="_Toc30081862"/>
        <w:bookmarkStart w:id="87" w:name="_Toc30085097"/>
        <w:bookmarkStart w:id="88" w:name="_Toc32845363"/>
        <w:bookmarkStart w:id="89" w:name="_Toc204085706"/>
        <w:r>
          <w:t xml:space="preserve">Часть 2. ТЕХНИКО-ЭКОНОМИЧЕСКОЕ СРАВНЕНИЕ ВАРИАНТОВ</w:t>
        </w:r>
      </w:hyperlink>
      <w:r>
        <w:t xml:space="preserve"> </w:t>
      </w:r>
      <w:hyperlink r:id="rId61" w:tooltip="file:///D:\Source\Ses\Docs\Оглавление%20том%202%20%20О.М..docx#bookmark61" w:anchor="bookmark61" w:history="1">
        <w:r>
          <w:t xml:space="preserve">ПЕРСПЕКТИВНОГО РАЗВИТИЯ СИСТЕМ ТЕПЛОСНАБЖЕНИЯ</w:t>
        </w:r>
        <w:bookmarkEnd w:id="86"/>
        <w:bookmarkEnd w:id="87"/>
        <w:bookmarkEnd w:id="88"/>
        <w:bookmarkEnd w:id="89"/>
      </w:hyperlink>
      <w:r/>
      <w:r/>
    </w:p>
    <w:p>
      <w:pPr>
        <w:ind w:firstLine="709"/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Сравнение вариантов перспективного развития систем теплоснабжения Печенгского муниципального округа приведено в таблице 5.3.1 и основано на оценке показателей эффективности реализации мероприятий.</w:t>
      </w:r>
      <w:r>
        <w:rPr>
          <w:rFonts w:cs="Times New Roman"/>
          <w:szCs w:val="24"/>
        </w:rPr>
      </w:r>
    </w:p>
    <w:p>
      <w:pPr>
        <w:jc w:val="both"/>
        <w:rPr>
          <w:rFonts w:cs="Times New Roman"/>
          <w:sz w:val="22"/>
          <w:lang w:eastAsia="ru-RU"/>
        </w:rPr>
      </w:pPr>
      <w:r>
        <w:rPr>
          <w:rFonts w:cs="Times New Roman"/>
          <w:sz w:val="22"/>
          <w:lang w:eastAsia="ru-RU"/>
        </w:rPr>
      </w:r>
      <w:r>
        <w:rPr>
          <w:rFonts w:cs="Times New Roman"/>
          <w:sz w:val="22"/>
          <w:lang w:eastAsia="ru-RU"/>
        </w:rPr>
      </w:r>
    </w:p>
    <w:p>
      <w:pPr>
        <w:pStyle w:val="717"/>
        <w:ind w:left="0" w:firstLine="0"/>
      </w:pPr>
      <w:r/>
      <w:hyperlink r:id="rId62" w:tooltip="file:///D:\Source\Ses\Docs\Оглавление%20том%202%20%20О.М..docx#bookmark62" w:anchor="bookmark62" w:history="1">
        <w:bookmarkStart w:id="90" w:name="_Toc30081863"/>
        <w:bookmarkStart w:id="91" w:name="_Toc30085098"/>
        <w:bookmarkStart w:id="92" w:name="_Toc32845364"/>
        <w:bookmarkStart w:id="93" w:name="_Toc204085707"/>
        <w:r>
          <w:t xml:space="preserve">Часть 3. ОБОСНОВАНИЕ ВЫБОРА ПРИОРИТЕТНОГО ВАРИАНТА ПЕРСПЕКТИВНОГО</w:t>
        </w:r>
      </w:hyperlink>
      <w:r>
        <w:t xml:space="preserve"> </w:t>
      </w:r>
      <w:hyperlink r:id="rId63" w:tooltip="file:///D:\Source\Ses\Docs\Оглавление%20том%202%20%20О.М..docx#bookmark62" w:anchor="bookmark62" w:history="1">
        <w:r>
          <w:t xml:space="preserve">РАЗВИТИЯ СИСТЕМ ТЕПЛОСНАБЖЕНИЯ ПОСЕЛЕНИЯ, ГОРОДСКОГО ОКРУГА,</w:t>
        </w:r>
      </w:hyperlink>
      <w:r>
        <w:t xml:space="preserve"> </w:t>
      </w:r>
      <w:hyperlink r:id="rId64" w:tooltip="file:///D:\Source\Ses\Docs\Оглавление%20том%202%20%20О.М..docx#bookmark62" w:anchor="bookmark62" w:history="1">
        <w:r>
          <w:t xml:space="preserve">ГОРОДА ФЕДЕРАЛЬНОГО ЗНАЧЕНИЯ НА ОСНОВЕ АНАЛИЗА ЦЕНОВЫХ</w:t>
        </w:r>
      </w:hyperlink>
      <w:r>
        <w:t xml:space="preserve"> </w:t>
      </w:r>
      <w:hyperlink r:id="rId65" w:tooltip="file:///D:\Source\Ses\Docs\Оглавление%20том%202%20%20О.М..docx#bookmark62" w:anchor="bookmark62" w:history="1">
        <w:r>
          <w:t xml:space="preserve">(ТАРИФНЫХ) ПОСЛЕДСТВИЙ ДЛЯ ПОТРЕБИТЕЛЕЙ</w:t>
        </w:r>
        <w:bookmarkEnd w:id="90"/>
        <w:bookmarkEnd w:id="91"/>
        <w:bookmarkEnd w:id="92"/>
        <w:bookmarkEnd w:id="93"/>
      </w:hyperlink>
      <w:r/>
      <w:r/>
    </w:p>
    <w:p>
      <w:pPr>
        <w:pStyle w:val="822"/>
        <w:ind w:firstLine="709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  <w:r>
        <w:rPr>
          <w:color w:val="auto"/>
          <w:sz w:val="23"/>
          <w:szCs w:val="23"/>
        </w:rPr>
      </w:r>
    </w:p>
    <w:p>
      <w:pPr>
        <w:ind w:firstLine="709"/>
        <w:jc w:val="both"/>
        <w:rPr>
          <w:rFonts w:cs="Times New Roman"/>
          <w:szCs w:val="24"/>
        </w:rPr>
      </w:pPr>
      <w:r/>
      <w:bookmarkStart w:id="94" w:name="_Hlk204006490"/>
      <w:r>
        <w:rPr>
          <w:rFonts w:cs="Times New Roman"/>
          <w:szCs w:val="24"/>
        </w:rPr>
        <w:t xml:space="preserve">По результатам сравнительной оценки вариантов развития систем теп</w:t>
      </w:r>
      <w:r>
        <w:rPr>
          <w:rFonts w:cs="Times New Roman"/>
          <w:szCs w:val="24"/>
        </w:rPr>
        <w:t xml:space="preserve">лоснабжения Печенгского муниципального округа (таблица 5.3.1), наиболее приоритетным является 2 вариант для всех расчётных элементов территориального деления. В связи с этим он учитывается при определении инвестиций в рамках настоящей Схемы теплоснабжения.</w:t>
      </w:r>
      <w:r>
        <w:rPr>
          <w:rFonts w:cs="Times New Roman"/>
          <w:szCs w:val="24"/>
        </w:rPr>
      </w:r>
    </w:p>
    <w:p>
      <w:pPr>
        <w:spacing w:before="240" w:after="120"/>
        <w:rPr>
          <w:rFonts w:cs="Times New Roman"/>
          <w:b/>
          <w:szCs w:val="24"/>
        </w:rPr>
      </w:pPr>
      <w:r/>
      <w:bookmarkStart w:id="95" w:name="_Hlk204006503"/>
      <w:r/>
      <w:bookmarkEnd w:id="94"/>
      <w:r>
        <w:rPr>
          <w:rFonts w:cs="Times New Roman"/>
          <w:b/>
          <w:szCs w:val="24"/>
        </w:rPr>
        <w:t xml:space="preserve">Таблица 5.3.1- Сравнение вариантов перспективного развития систем теплоснабжения Печенгского муниципального округа</w:t>
      </w:r>
      <w:r>
        <w:rPr>
          <w:rFonts w:cs="Times New Roman"/>
          <w:b/>
          <w:szCs w:val="24"/>
        </w:rPr>
      </w:r>
    </w:p>
    <w:tbl>
      <w:tblPr>
        <w:tblStyle w:val="1702"/>
        <w:tblW w:w="9464" w:type="dxa"/>
        <w:tblLook w:val="0600" w:firstRow="0" w:lastRow="0" w:firstColumn="0" w:lastColumn="0" w:noHBand="1" w:noVBand="1"/>
      </w:tblPr>
      <w:tblGrid>
        <w:gridCol w:w="3681"/>
        <w:gridCol w:w="1276"/>
        <w:gridCol w:w="4507"/>
      </w:tblGrid>
      <w:tr>
        <w:tblPrEx/>
        <w:trPr>
          <w:trHeight w:val="284"/>
          <w:tblHeader/>
        </w:trPr>
        <w:tc>
          <w:tcPr>
            <w:shd w:val="clear" w:color="auto" w:fill="f2f2f2" w:themeFill="background1" w:themeFillShade="F2"/>
            <w:tcW w:w="3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/>
            <w:bookmarkStart w:id="96" w:name="_Hlk204006720"/>
            <w:r/>
            <w:bookmarkEnd w:id="95"/>
            <w:r>
              <w:rPr>
                <w:rFonts w:cs="Times New Roman"/>
                <w:sz w:val="20"/>
              </w:rPr>
              <w:t xml:space="preserve">Наименование мероприятия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 w:themeFill="background1" w:themeFillShade="F2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Номер варианта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 w:themeFill="background1" w:themeFillShade="F2"/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Оценка проекта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п.г.т. Никель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Сохранятся действующая система теплоснабжения: котельная ЭЦ-2 на мазуте и присоединённые к ней тепловые сети, с реализацией мероприятий по их текущему и капитальному ремонту. 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Повышение</w:t>
            </w:r>
            <w:r>
              <w:rPr>
                <w:rFonts w:cs="Times New Roman"/>
                <w:sz w:val="20"/>
              </w:rPr>
              <w:t xml:space="preserve"> износа оборудования котельной и тепловых сетей, снижение надёжности системы теплоснабжения, увеличение потерь теплоэнергии и теплоносителя при передаче по сетям, увеличение стоимости услуг на производство тепловой энергии из-за роста цен на энергоресурсы.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Строительство тепловых се</w:t>
            </w:r>
            <w:r>
              <w:rPr>
                <w:rFonts w:cs="Times New Roman"/>
                <w:sz w:val="20"/>
              </w:rPr>
              <w:t xml:space="preserve">тей и нового источника тепловой энергии мощностью 51,6 Гкал/ч (согласно ген. план). Реконструкция котельной на мазуте с возможностью перехода на газ, присоединённые к ней тепловые сети, с реализацией мероприятий по реконструкции котельной и тепловых сетей.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Снижение износа оборудования котельной и тепловых сетей, повышение надёж</w:t>
            </w:r>
            <w:r>
              <w:rPr>
                <w:rFonts w:cs="Times New Roman"/>
                <w:sz w:val="20"/>
              </w:rPr>
              <w:t xml:space="preserve">ности системы теплоснабжения, снижение потерь теплоэнергии и теплоносителя при передаче тепла. Возможность перевода котельной с мазута на газ, а соответственно снижение расхода на топливо, и, как следствие, снижение стоимости производства тепловой энергии.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 г. Заполярный 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Сохранятся действующая система теплоснабжения: котельная на мазуте и присоединённые к ней тепловые сети, с реализацией мероприятий по их текущему и капитальному ремонту. 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Повышение</w:t>
            </w:r>
            <w:r>
              <w:rPr>
                <w:rFonts w:cs="Times New Roman"/>
                <w:sz w:val="20"/>
              </w:rPr>
              <w:t xml:space="preserve"> износа оборудования котельной и тепловых сетей, снижение надёжности системы теплоснабжения, увеличение потерь теплоэнергии и теплоносителя при передаче по сетям, увеличение стоимости услуг на производство тепловой энергии из-за роста цен на энергоресурсы.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Реконструкция котельной на мазуте с возможностью перехода на газ, присоединённые к ней тепловые сети, с реализацией мероприятий по строительству и реконструкции котельной и тепловых сетей.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Снижение износа оборудования котельной и тепловых сетей, повышение надёж</w:t>
            </w:r>
            <w:r>
              <w:rPr>
                <w:rFonts w:cs="Times New Roman"/>
                <w:sz w:val="20"/>
              </w:rPr>
              <w:t xml:space="preserve">ности системы теплоснабжения, снижение потерь теплоэнергии и теплоносителя при передаче тепла. Возможность перевода котельной с мазута на газ, а соответственно снижение расхода на топливо, и, как следствие, снижение стоимости производства тепловой энергии.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  <w:lang w:bidi="ru-RU"/>
              </w:rPr>
              <w:t xml:space="preserve">п.г.т. Печенга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 и присоединённые к ним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Повышение износа оборудования котельных и тепловых сетей, снижение надёжности систем теплоснабжения.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Строительство тепловых сетей и нового источника тепловой энергии мощностью 5,2 Гкал/ч (согласно ген. план). Реконструкция существующих котельных с возможностью перехода на газ. Мероприятия по текущему и капитальному ремонту тепловых сетей.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Снижение износа оборудования котельных и тепловых сетей, повыше</w:t>
            </w:r>
            <w:r>
              <w:rPr>
                <w:rFonts w:cs="Times New Roman"/>
                <w:sz w:val="20"/>
              </w:rPr>
              <w:t xml:space="preserve">ние надёжности системы теплоснабжения, снижение потерь теплоэнергии и теплоносителя при передаче тепла. Возможность перевода котельных на газ, а соответственно снижение расхода на топливо, и, как следствие, снижение стоимости производства тепловой энергии.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н.п. Спутник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 и присоединённые к ним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Повышение износа оборудования котельных и тепловых сетей, снижение надёжности систем теплоснабжения.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теплоснабжения. Реконструкция существующих котельных с возможностью перехода на газ. Мероприятия по текущему и капитальному ремонту тепловых сетей.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Снижение износа оборудования котельных и тепловых сетей, повыше</w:t>
            </w:r>
            <w:r>
              <w:rPr>
                <w:rFonts w:cs="Times New Roman"/>
                <w:sz w:val="20"/>
              </w:rPr>
              <w:t xml:space="preserve">ние надёжности системы теплоснабжения, снижение потерь теплоэнергии и теплоносителя при передаче тепла. Возможность перевода котельных на газ, а соответственно снижение расхода на топливо, и, как следствие, снижение стоимости производства тепловой энергии.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н.п. Раякоски 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теплоснабжения: котельные №№ К-15 и М-4 и присоединённые к ним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Повышение износа оборудования котельных и тепловых сетей, снижение надёжности систем теплоснабжения.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Котельные №№ К-15 и М-4 – реконструкция с возможностью перехода на газ. Тепловые сети, присоединённые к данным котельным, поддерживаются в технически исправном состоянии за счёт реализации мероприятий по текущему и/или капитальному ремонтам.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Снижение износа оборудования котельных и тепловых сетей, повыше</w:t>
            </w:r>
            <w:r>
              <w:rPr>
                <w:rFonts w:cs="Times New Roman"/>
                <w:sz w:val="20"/>
              </w:rPr>
              <w:t xml:space="preserve">ние надёжности системы теплоснабжения, снижение потерь теплоэнергии и теплоносителя при передаче тепла. Возможность перевода котельных на газ, а соответственно снижение расхода на топливо, и, как следствие, снижение стоимости производства тепловой энергии.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н.п. Лиинахамари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Сохраняется действующая система теплоснабжения: котельная №3 и присоединённые к ней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Повышение износа оборудования котельной и тепловых сетей, снижение надёжности системы теплоснабжения.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№3 –реконструкция с возможностью перехода на газ. Тепловые сети, присоединённые к данной котельной, поддерживаются в технически исправном состоянии за счёт реализации мероприятий по текущему и/или капитальному ремонтам.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Снижение износа оборудования котельных и тепловых сетей, повыше</w:t>
            </w:r>
            <w:r>
              <w:rPr>
                <w:rFonts w:cs="Times New Roman"/>
                <w:sz w:val="20"/>
              </w:rPr>
              <w:t xml:space="preserve">ние надёжности системы теплоснабжения, снижение потерь теплоэнергии и теплоносителя при передаче тепла. Возможность перевода котельных на газ, а соответственно снижение расхода на топливо, и, как следствие, снижение стоимости производства тепловой энергии.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464" w:type="dxa"/>
            <w:vAlign w:val="center"/>
            <w:textDirection w:val="lrTb"/>
            <w:noWrap w:val="false"/>
          </w:tcPr>
          <w:p>
            <w:pPr>
              <w:pStyle w:val="3462"/>
              <w:spacing w:before="0" w:beforeAutospacing="0" w:after="0" w:afterAutospacing="0"/>
              <w:rPr>
                <w:bCs w:val="0"/>
              </w:rPr>
              <w:pBdr>
                <w:left w:val="none" w:color="000000" w:sz="0" w:space="0"/>
                <w:right w:val="none" w:color="000000" w:sz="0" w:space="0"/>
              </w:pBdr>
            </w:pPr>
            <w:r>
              <w:rPr>
                <w:bCs w:val="0"/>
              </w:rPr>
              <w:t xml:space="preserve">н.п. Лу</w:t>
            </w:r>
            <w:r>
              <w:rPr>
                <w:bCs w:val="0"/>
              </w:rPr>
              <w:t xml:space="preserve">о</w:t>
            </w:r>
            <w:r>
              <w:rPr>
                <w:bCs w:val="0"/>
              </w:rPr>
              <w:t xml:space="preserve">стари</w:t>
            </w:r>
            <w:r>
              <w:rPr>
                <w:bCs w:val="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теплоснабжения: котельные и присоединённые к ним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Повышение износа оборудования котельных и тепловых сетей, снижение надёжности систем теплоснабжения.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ind w:firstLine="3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теплоснабжения. Реконструкция существующих котельных с возможностью перехода на газ.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Снижение износа оборудования котельных, повышение надёжности системы теплоснабжения. Возможность перевода котельных на газ, а соответственно снижение расхода на топливо, и, как следствие, снижение стоимости производства тепловой энергии.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н.п. Корзуново 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теплоснабжения: котельные и присоединённые к ним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Повышение износа оборудования котельной и тепловых сетей, снижение надёжности системы теплоснабжения.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теплоснабжения. Реконструкция существующих котельных с возможностью перехода на газ. Мероприятия по текущему и капитальному ремонту тепловых сетей.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Снижение износа оборудования котельных и тепловых сетей, повыше</w:t>
            </w:r>
            <w:r>
              <w:rPr>
                <w:rFonts w:cs="Times New Roman"/>
                <w:sz w:val="20"/>
              </w:rPr>
              <w:t xml:space="preserve">ние надёжности системы теплоснабжения, снижение потерь теплоэнергии и теплоносителя при передаче тепла. Возможность перевода котельных на газ, а соответственно снижение расхода на топливо, и, как следствие, снижение стоимости производства тепловой энергии.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gridSpan w:val="3"/>
            <w:tcW w:w="9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 xml:space="preserve">н.п. Вайда-Губа, ж/д ст. Печенга</w:t>
            </w:r>
            <w:r>
              <w:rPr>
                <w:rFonts w:cs="Times New Roman"/>
                <w:b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теплоснабжения: котельные и присоединённые к ним тепловые сети, с реализацией мероприятий по их текущему и капитальному ремонту.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вариант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Повышение износа оборудования котельной и тепловых сетей, снижение надёжности системы теплоснабжения.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284"/>
        </w:trPr>
        <w:tc>
          <w:tcPr>
            <w:tcW w:w="3681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Сохраняются действующие системы теплоснабжения. Реконструкция существующих котельных с возможностью перехода на газ.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3455"/>
              <w:jc w:val="center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 вариант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W w:w="4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Снижение износа оборудования котельных, повышение надёжности системы теплоснабжения. Возможность перевода котельных на газ, а соответственно снижение расхода на топливо, и, как следствие, снижение стоимости производства тепловой энергии.</w:t>
            </w:r>
            <w:bookmarkEnd w:id="96"/>
            <w:r>
              <w:rPr>
                <w:rFonts w:cs="Times New Roman"/>
                <w:sz w:val="20"/>
              </w:rPr>
            </w:r>
          </w:p>
        </w:tc>
      </w:tr>
    </w:tbl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97" w:name="_Toc53927664"/>
      <w:r/>
      <w:bookmarkStart w:id="98" w:name="_Toc204085708"/>
      <w:r>
        <w:t xml:space="preserve">Часть 4. ОПИСАНИЕ ИЗМЕНЕНИЙ В МАСТЕР-ПЛАНЕ РАЗВИТИЯ СИСТЕМ ТЕПЛОСНАБЖЕНИЯ МУНИЦИПАЛЬНОГО ОБРАЗОВАНИЯ ЗА ПЕРИОД, ПРЕДШЕСТВУЮЩИЙ АКТУАЛИЗАЦИИ СХЕМЫ ТЕПЛОСНАБЖЕНИЯ</w:t>
      </w:r>
      <w:bookmarkEnd w:id="97"/>
      <w:r/>
      <w:bookmarkEnd w:id="98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ind w:firstLine="567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Изменения отсутствуют.</w:t>
      </w:r>
      <w:r>
        <w:rPr>
          <w:rFonts w:cs="Times New Roman"/>
          <w:lang w:eastAsia="ru-RU"/>
        </w:rPr>
      </w:r>
    </w:p>
    <w:p>
      <w:pPr>
        <w:pStyle w:val="728"/>
        <w:ind w:firstLine="567"/>
        <w:rPr>
          <w:rFonts w:cs="Times New Roman"/>
          <w:lang w:eastAsia="ru-RU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  <w:lang w:eastAsia="ru-RU"/>
        </w:rPr>
        <w:t xml:space="preserve">___________________</w:t>
      </w:r>
      <w:r>
        <w:rPr>
          <w:rFonts w:cs="Times New Roman"/>
          <w:lang w:eastAsia="ru-RU"/>
        </w:rPr>
      </w:r>
    </w:p>
    <w:p>
      <w:pPr>
        <w:pStyle w:val="717"/>
        <w:ind w:left="0" w:firstLine="0"/>
        <w:rPr>
          <w:sz w:val="28"/>
          <w:szCs w:val="28"/>
        </w:rPr>
      </w:pPr>
      <w:r/>
      <w:bookmarkStart w:id="99" w:name="_Toc45625231"/>
      <w:r/>
      <w:bookmarkStart w:id="100" w:name="_Toc204085709"/>
      <w:r>
        <w:rPr>
          <w:sz w:val="28"/>
          <w:szCs w:val="28"/>
        </w:rPr>
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  <w:bookmarkEnd w:id="99"/>
      <w:r/>
      <w:bookmarkEnd w:id="100"/>
      <w:r/>
      <w:r>
        <w:rPr>
          <w:sz w:val="28"/>
          <w:szCs w:val="28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66" w:tooltip="file:///D:\Source\Ses\Docs\Оглавление%20том%202%20%20О.М..docx#bookmark64" w:anchor="bookmark64" w:history="1">
        <w:bookmarkStart w:id="101" w:name="_Toc45625232"/>
        <w:bookmarkStart w:id="102" w:name="_Toc204085710"/>
        <w:r>
          <w:t xml:space="preserve">Часть 1. </w:t>
        </w:r>
      </w:hyperlink>
      <w:r/>
      <w:hyperlink r:id="rId67" w:tooltip="file:///D:\Source\Ses\Docs\Оглавление%20том%202%20%20О.М..docx#bookmark64" w:anchor="bookmark64" w:history="1">
        <w:r>
          <w:t xml:space="preserve">РАСЧЕТНАЯ ВЕЛИЧИН</w:t>
        </w:r>
        <w:r>
          <w:t xml:space="preserve">А НОРМАТИВНЫХ ПОТЕРЬ (В ЦЕНОВЫХ ЗОНАХ ТЕПЛОСНАБЖЕНИЯ - РАСЧЕТНАЯ ВЕЛИЧИНА ПЛАНОВЫХ ПОТЕРЬ, ОПРЕДЕЛЯЕМЫХ В СООТВЕТСТВИИ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  </w:r>
        <w:bookmarkEnd w:id="101"/>
        <w:bookmarkEnd w:id="102"/>
      </w:hyperlink>
      <w:r/>
      <w:r/>
    </w:p>
    <w:p>
      <w:pPr>
        <w:ind w:firstLine="426"/>
        <w:rPr>
          <w:rFonts w:cs="Times New Roman"/>
          <w:szCs w:val="24"/>
        </w:rPr>
      </w:pPr>
      <w:r/>
      <w:bookmarkStart w:id="103" w:name="OLE_LINK11"/>
      <w:r/>
      <w:bookmarkStart w:id="104" w:name="OLE_LINK12"/>
      <w:r/>
      <w:bookmarkStart w:id="105" w:name="OLE_LINK13"/>
      <w:r/>
      <w:bookmarkEnd w:id="103"/>
      <w:r/>
      <w:bookmarkEnd w:id="104"/>
      <w:r/>
      <w:bookmarkEnd w:id="105"/>
      <w:r/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Значения расчётной величины нормативных потерь теплоносителя в тепловых сетях в зонах действия источников тепловой энергии Печенгского муниципального округа на прогнозируемый период приведены в таблице 6.1.1.</w:t>
      </w:r>
      <w:r>
        <w:rPr>
          <w:rFonts w:cs="Times New Roman"/>
          <w:szCs w:val="24"/>
        </w:rPr>
      </w:r>
    </w:p>
    <w:p>
      <w:pPr>
        <w:spacing w:before="400" w:after="200"/>
        <w:rPr>
          <w:rFonts w:cs="Times New Roman"/>
          <w:b/>
        </w:rPr>
      </w:pPr>
      <w:r>
        <w:rPr>
          <w:rFonts w:cs="Times New Roman"/>
          <w:b/>
        </w:rPr>
        <w:t xml:space="preserve">Таблица 6.1.1 - Нормативные потери теплоносителя в тепловых сетях в зонах действия источников тепловой энергии</w:t>
      </w:r>
      <w:r>
        <w:rPr>
          <w:rFonts w:cs="Times New Roman"/>
          <w:b/>
        </w:rPr>
      </w:r>
    </w:p>
    <w:tbl>
      <w:tblPr>
        <w:tblW w:w="15340" w:type="dxa"/>
        <w:tblInd w:w="-5" w:type="dxa"/>
        <w:tblLook w:val="04A0" w:firstRow="1" w:lastRow="0" w:firstColumn="1" w:lastColumn="0" w:noHBand="0" w:noVBand="1"/>
      </w:tblPr>
      <w:tblGrid>
        <w:gridCol w:w="3570"/>
        <w:gridCol w:w="1050"/>
        <w:gridCol w:w="1060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blPrEx/>
        <w:trPr>
          <w:trHeight w:val="765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/>
            <w:bookmarkStart w:id="106" w:name="_Hlk204006130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теплоисточника, показателя, теплоснабжающей организации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Ед. изм.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2033-2038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2039-2043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ЕТО-1 АО "МЭС"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123,6829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799,003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799,003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799,003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799,003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799,003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799,003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799,003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799,003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799,003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799,003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799,003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134,028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664,975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664,975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664,975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664,975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664,975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664,975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664,975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664,975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664,975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664,975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664,975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Присоединённая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275,87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235,95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ЕТО-2 ПАО «ТГК-1»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Электрокотельная "К-1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5" нп. Раякоски, тепловые сети ГО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 «Сети Никеля»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Электрокотельная "М-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4" нп. Раякоски, тепловые сети ГО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 «Сети Никеля»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ЕТО-3 ООО «ПромВоенСтрой»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2,707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№15/176 н.п. Луостари (в.г. №15)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№5/106 н.п. Луостари (в.г. №5)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ЕТО-4 ООО «Теплонорд»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№4/115 ж/д ст. Печенга (19 км) (в.г. №4)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№4/179 ж/д ст. Печенга (19 км) (в.г. №4)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ЕТО-5 ФГБУ «ЦЖКУ» МО РФ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bottom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№25/52 пгт. Печенга (в.г. №25)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№18/65 пгт. Печенга (в.г. №18)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0,895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№13/66 пгт. Печенга (в.г. №13)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№69/6 н.п. Вайда-Губа (в.г. №69)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№38/86 пгт. Печенга (в.г. №38)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16,77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Котельная №21/90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№21/110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1,771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№21/149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0,443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№12/151 н.п. Спутник (в.г. №12)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№25/46 пгт. Печенга (в.г. №25)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№42/188 пгт. Печенга (в.г. №42)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Подпитка тепловой сети всего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Нормативные утечки теплоносителя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7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Отпуск теплоносителя из тепловых сетей на гвс (для открытых систем теплоснабжения)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тыс.м3/год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</w:t>
            </w:r>
            <w:bookmarkEnd w:id="106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  <w:lang w:val="en-US" w:eastAsia="ru-RU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pStyle w:val="728"/>
        <w:rPr>
          <w:rFonts w:cs="Times New Roman"/>
          <w:lang w:val="en-US" w:eastAsia="ru-RU"/>
        </w:rPr>
      </w:pPr>
      <w:r>
        <w:rPr>
          <w:rFonts w:cs="Times New Roman"/>
          <w:lang w:val="en-US" w:eastAsia="ru-RU"/>
        </w:rPr>
      </w:r>
      <w:r>
        <w:rPr>
          <w:rFonts w:cs="Times New Roman"/>
          <w:lang w:val="en-US" w:eastAsia="ru-RU"/>
        </w:rPr>
      </w:r>
    </w:p>
    <w:p>
      <w:pPr>
        <w:pStyle w:val="717"/>
        <w:ind w:left="0" w:firstLine="0"/>
      </w:pPr>
      <w:r/>
      <w:hyperlink r:id="rId68" w:tooltip="file:///D:\Source\Ses\Docs\Оглавление%20том%202%20%20О.М..docx#bookmark65" w:anchor="bookmark65" w:history="1">
        <w:bookmarkStart w:id="107" w:name="_Toc30081866"/>
        <w:bookmarkStart w:id="108" w:name="_Toc30085101"/>
        <w:bookmarkStart w:id="109" w:name="_Toc32845367"/>
        <w:bookmarkStart w:id="110" w:name="_Toc204085711"/>
        <w:r>
          <w:t xml:space="preserve">Часть 2. МАКСИМАЛЬНЫЙ И СРЕДНЕЧАСОВОЙ РАСХОД ТЕПЛОНОСИТЕЛЯ</w:t>
        </w:r>
      </w:hyperlink>
      <w:r>
        <w:t xml:space="preserve"> </w:t>
      </w:r>
      <w:hyperlink r:id="rId69" w:tooltip="file:///D:\Source\Ses\Docs\Оглавление%20том%202%20%20О.М..docx#bookmark65" w:anchor="bookmark65" w:history="1">
        <w:r>
          <w:t xml:space="preserve">(РАСХОД СЕТЕВОЙ ВОДЫ) НА ГОРЯЧЕЕ ВОДОСНАБЖЕНИЕ ПОТРЕБИТЕЛЕЙ С</w:t>
        </w:r>
      </w:hyperlink>
      <w:r>
        <w:t xml:space="preserve"> </w:t>
      </w:r>
      <w:hyperlink r:id="rId70" w:tooltip="file:///D:\Source\Ses\Docs\Оглавление%20том%202%20%20О.М..docx#bookmark65" w:anchor="bookmark65" w:history="1">
        <w:r>
          <w:t xml:space="preserve">ИСПОЛЬЗОВАНИЕМ ОТКРЫТОЙ СИСТЕМЫ ТЕПЛОСНАБЖЕНИЯ В ЗОНЕ ДЕЙСТВИЯ</w:t>
        </w:r>
      </w:hyperlink>
      <w:r>
        <w:t xml:space="preserve"> </w:t>
      </w:r>
      <w:hyperlink r:id="rId71" w:tooltip="file:///D:\Source\Ses\Docs\Оглавление%20том%202%20%20О.М..docx#bookmark65" w:anchor="bookmark65" w:history="1">
        <w:r>
          <w:t xml:space="preserve">КАЖДОГО ИСТОЧНИКА ТЕПЛОВОЙ ЭНЕРГИИ, РАССЧИТЫВАЕМЫЙ С УЧЕТОМ</w:t>
        </w:r>
      </w:hyperlink>
      <w:r>
        <w:t xml:space="preserve"> </w:t>
      </w:r>
      <w:hyperlink r:id="rId72" w:tooltip="file:///D:\Source\Ses\Docs\Оглавление%20том%202%20%20О.М..docx#bookmark65" w:anchor="bookmark65" w:history="1">
        <w:r>
          <w:t xml:space="preserve">ПРОГНОЗНЫХ СРОКОВ ПЕРЕВОДА ПОТРЕБИТЕЛЕЙ, ПОДКЛЮЧЕННЫХ К</w:t>
        </w:r>
      </w:hyperlink>
      <w:r>
        <w:t xml:space="preserve"> </w:t>
      </w:r>
      <w:hyperlink r:id="rId73" w:tooltip="file:///D:\Source\Ses\Docs\Оглавление%20том%202%20%20О.М..docx#bookmark65" w:anchor="bookmark65" w:history="1">
        <w:r>
          <w:t xml:space="preserve">ОТКРЫТОЙ СИСТЕМЕ ТЕПЛОСНАБЖЕНИЯ (ГОРЯЧЕГО ВОДОСНАБЖЕНИЯ), НА</w:t>
        </w:r>
      </w:hyperlink>
      <w:r>
        <w:t xml:space="preserve"> </w:t>
      </w:r>
      <w:hyperlink r:id="rId74" w:tooltip="file:///D:\Source\Ses\Docs\Оглавление%20том%202%20%20О.М..docx#bookmark65" w:anchor="bookmark65" w:history="1">
        <w:r>
          <w:t xml:space="preserve">ЗАКРЫТУЮ СИСТЕМУ ГОРЯЧЕГО ВОДОСНАБЖЕНИЯ</w:t>
        </w:r>
        <w:bookmarkEnd w:id="107"/>
        <w:bookmarkEnd w:id="108"/>
        <w:bookmarkEnd w:id="109"/>
        <w:bookmarkEnd w:id="110"/>
      </w:hyperlink>
      <w:r/>
      <w:r/>
    </w:p>
    <w:p>
      <w:pPr>
        <w:pStyle w:val="728"/>
        <w:jc w:val="center"/>
        <w:rPr>
          <w:rFonts w:cs="Times New Roman"/>
          <w:lang w:eastAsia="ru-RU"/>
        </w:rPr>
      </w:pPr>
      <w:r/>
      <w:bookmarkStart w:id="111" w:name="OLE_LINK115"/>
      <w:r/>
      <w:bookmarkStart w:id="112" w:name="OLE_LINK116"/>
      <w:r/>
      <w:bookmarkEnd w:id="111"/>
      <w:r/>
      <w:bookmarkEnd w:id="112"/>
      <w:r/>
      <w:r>
        <w:rPr>
          <w:rFonts w:cs="Times New Roman"/>
          <w:lang w:eastAsia="ru-RU"/>
        </w:rPr>
      </w:r>
    </w:p>
    <w:p>
      <w:pPr>
        <w:pStyle w:val="946"/>
        <w:ind w:left="0" w:right="112" w:firstLine="709"/>
        <w:jc w:val="both"/>
        <w:rPr>
          <w:rFonts w:eastAsiaTheme="minorHAnsi"/>
          <w:sz w:val="23"/>
          <w:szCs w:val="23"/>
          <w:lang w:eastAsia="en-US"/>
        </w:rPr>
      </w:pPr>
      <w:r>
        <w:t xml:space="preserve">Значения расхода сетевой воды на горячее водоснабжение потребителей в зонах действия каждого источника теплоэнергии на период 2024 – 2043 годы приведены выше - в таблице 6.1.1.</w:t>
      </w:r>
      <w:r>
        <w:rPr>
          <w:rFonts w:eastAsiaTheme="minorHAnsi"/>
          <w:sz w:val="23"/>
          <w:szCs w:val="23"/>
          <w:lang w:eastAsia="en-US"/>
        </w:rPr>
        <w:t xml:space="preserve">    </w:t>
      </w:r>
      <w:r>
        <w:rPr>
          <w:rFonts w:eastAsiaTheme="minorHAnsi"/>
          <w:sz w:val="23"/>
          <w:szCs w:val="23"/>
          <w:lang w:eastAsia="en-US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75" w:tooltip="file:///D:\Source\Ses\Docs\Оглавление%20том%202%20%20О.М..docx#bookmark51" w:anchor="bookmark51" w:history="1">
        <w:bookmarkStart w:id="113" w:name="_Toc30081852"/>
        <w:bookmarkStart w:id="114" w:name="_Toc30085087"/>
        <w:bookmarkStart w:id="115" w:name="_Toc32845353"/>
        <w:bookmarkStart w:id="116" w:name="_Toc204085712"/>
        <w:r>
          <w:t xml:space="preserve">Часть 3. </w:t>
        </w:r>
      </w:hyperlink>
      <w:r/>
      <w:bookmarkEnd w:id="113"/>
      <w:r/>
      <w:bookmarkEnd w:id="114"/>
      <w:r/>
      <w:bookmarkEnd w:id="115"/>
      <w:r>
        <w:t xml:space="preserve">СВЕДЕНИЯ О НАЛИЧИИ БАКОВ-АККУМУЛЯТОРОВ</w:t>
      </w:r>
      <w:bookmarkEnd w:id="116"/>
      <w:r/>
      <w:r/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На котельной ЭЦ-2, пгт. Никель установлены 2 аккумуляторных бака (РВС) по 1000,0 м</w:t>
      </w:r>
      <w:r>
        <w:rPr>
          <w:rFonts w:cs="Times New Roman"/>
          <w:szCs w:val="24"/>
          <w:vertAlign w:val="superscript"/>
        </w:rPr>
        <w:t xml:space="preserve">3</w:t>
      </w:r>
      <w:r>
        <w:rPr>
          <w:rFonts w:cs="Times New Roman"/>
          <w:szCs w:val="24"/>
        </w:rPr>
        <w:t xml:space="preserve"> каждый. </w:t>
      </w:r>
      <w:r>
        <w:rPr>
          <w:rFonts w:cs="Times New Roman"/>
          <w:szCs w:val="24"/>
        </w:rPr>
      </w:r>
    </w:p>
    <w:p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На котельной г. Заполярный установлены 4 аккумуляторных бака по 1000,0 м</w:t>
      </w:r>
      <w:r>
        <w:rPr>
          <w:rFonts w:cs="Times New Roman"/>
          <w:szCs w:val="24"/>
          <w:vertAlign w:val="superscript"/>
        </w:rPr>
        <w:t xml:space="preserve">3</w:t>
      </w:r>
      <w:r>
        <w:rPr>
          <w:rFonts w:cs="Times New Roman"/>
          <w:szCs w:val="24"/>
        </w:rPr>
        <w:t xml:space="preserve"> каждый. </w:t>
      </w:r>
      <w:r>
        <w:rPr>
          <w:rFonts w:cs="Times New Roman"/>
          <w:szCs w:val="24"/>
        </w:rPr>
      </w:r>
    </w:p>
    <w:p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На котельной №42/138, п. Спутник (в.г. №42) установлен 1 бак-аккумулятор объёмом 60 м</w:t>
      </w:r>
      <w:r>
        <w:rPr>
          <w:rFonts w:cs="Times New Roman"/>
          <w:szCs w:val="24"/>
          <w:vertAlign w:val="superscript"/>
        </w:rPr>
        <w:t xml:space="preserve">3</w:t>
      </w:r>
      <w:r>
        <w:rPr>
          <w:rFonts w:cs="Times New Roman"/>
          <w:szCs w:val="24"/>
        </w:rPr>
        <w:t xml:space="preserve">.</w:t>
      </w:r>
      <w:r>
        <w:rPr>
          <w:rFonts w:cs="Times New Roman"/>
          <w:szCs w:val="24"/>
        </w:rPr>
      </w:r>
    </w:p>
    <w:p>
      <w:pPr>
        <w:pStyle w:val="3456"/>
        <w:rPr>
          <w:sz w:val="24"/>
          <w:szCs w:val="24"/>
        </w:rPr>
      </w:pPr>
      <w:r>
        <w:rPr>
          <w:sz w:val="24"/>
          <w:szCs w:val="24"/>
        </w:rPr>
        <w:t xml:space="preserve">На котельной №13/73, пгт. Печенга (в.г. №13)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установлено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бака-аккумулятора по 20,0 м</w:t>
      </w:r>
      <w:r>
        <w:rPr>
          <w:sz w:val="24"/>
          <w:szCs w:val="24"/>
          <w:vertAlign w:val="superscript"/>
        </w:rPr>
        <w:t xml:space="preserve">3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3456"/>
        <w:rPr>
          <w:sz w:val="24"/>
          <w:szCs w:val="24"/>
        </w:rPr>
      </w:pPr>
      <w:r>
        <w:rPr>
          <w:sz w:val="24"/>
          <w:szCs w:val="24"/>
        </w:rPr>
        <w:t xml:space="preserve">На котельной №4/152, пгт. Печенга (в.г. №4)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установлено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бака-аккумулятора по 20,0 м</w:t>
      </w:r>
      <w:r>
        <w:rPr>
          <w:sz w:val="24"/>
          <w:szCs w:val="24"/>
          <w:vertAlign w:val="superscript"/>
        </w:rPr>
        <w:t xml:space="preserve">3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3456"/>
        <w:rPr>
          <w:sz w:val="24"/>
          <w:szCs w:val="24"/>
        </w:rPr>
      </w:pPr>
      <w:r>
        <w:rPr>
          <w:sz w:val="24"/>
          <w:szCs w:val="24"/>
        </w:rPr>
        <w:t xml:space="preserve">На котельной №21/90 пгт. Печенга (в.г. №21)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установлен </w:t>
      </w:r>
      <w:r>
        <w:rPr>
          <w:sz w:val="24"/>
          <w:szCs w:val="24"/>
          <w:lang w:val="ru-RU"/>
        </w:rPr>
        <w:t xml:space="preserve">1 </w:t>
      </w:r>
      <w:r>
        <w:rPr>
          <w:sz w:val="24"/>
          <w:szCs w:val="24"/>
        </w:rPr>
        <w:t xml:space="preserve">бак-аккумулятор ёмкостью 1,5 м</w:t>
      </w:r>
      <w:r>
        <w:rPr>
          <w:sz w:val="24"/>
          <w:szCs w:val="24"/>
          <w:vertAlign w:val="superscript"/>
        </w:rPr>
        <w:t xml:space="preserve">3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345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На котельной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№21/110 пгт. Печенга (в.г. №21)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установлено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бака-аккумулятора по 29,0 м</w:t>
      </w:r>
      <w:r>
        <w:rPr>
          <w:sz w:val="24"/>
          <w:szCs w:val="24"/>
          <w:vertAlign w:val="superscript"/>
        </w:rPr>
        <w:t xml:space="preserve">3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</w:p>
    <w:p>
      <w:pPr>
        <w:pStyle w:val="728"/>
        <w:ind w:firstLine="567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76" w:tooltip="file:///D:\Source\Ses\Docs\Оглавление%20том%202%20%20О.М..docx#bookmark67" w:anchor="bookmark67" w:history="1">
        <w:bookmarkStart w:id="117" w:name="_Toc30081868"/>
        <w:bookmarkStart w:id="118" w:name="_Toc30085103"/>
        <w:bookmarkStart w:id="119" w:name="_Toc32845369"/>
        <w:bookmarkStart w:id="120" w:name="_Toc204085713"/>
        <w:r>
          <w:t xml:space="preserve">Часть 4. НОРМАТИВНЫЙ И ФАКТИЧЕСКИЙ (ДЛЯ ЭКСПЛУАТАЦИОННОГО И</w:t>
        </w:r>
      </w:hyperlink>
      <w:r>
        <w:t xml:space="preserve"> </w:t>
      </w:r>
      <w:hyperlink r:id="rId77" w:tooltip="file:///D:\Source\Ses\Docs\Оглавление%20том%202%20%20О.М..docx#bookmark67" w:anchor="bookmark67" w:history="1">
        <w:r>
          <w:t xml:space="preserve">АВАРИЙНОГО РЕЖИМОВ) ЧАСОВОЙ РАСХОД ПОДПИТОЧНОЙ ВОДЫ В ЗОНЕ</w:t>
        </w:r>
      </w:hyperlink>
      <w:r>
        <w:t xml:space="preserve"> </w:t>
      </w:r>
      <w:hyperlink r:id="rId78" w:tooltip="file:///D:\Source\Ses\Docs\Оглавление%20том%202%20%20О.М..docx#bookmark67" w:anchor="bookmark67" w:history="1">
        <w:r>
          <w:t xml:space="preserve">ДЕЙСТВИЯ ИСТОЧНИКОВ ТЕПЛОВОЙ ЭНЕРГИИ</w:t>
        </w:r>
        <w:bookmarkEnd w:id="117"/>
        <w:bookmarkEnd w:id="118"/>
        <w:bookmarkEnd w:id="119"/>
        <w:bookmarkEnd w:id="120"/>
      </w:hyperlink>
      <w:r/>
      <w:r/>
    </w:p>
    <w:p>
      <w:pPr>
        <w:pStyle w:val="728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widowControl w:val="off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Данные о нормативном и фактическом часовом расходе подпиточной воды в зонах действия источников тепловой энергии Печенгского муниципального округа на период 2024 – 2043 годы приведены в таблице 6.4.1.</w:t>
      </w:r>
      <w:r>
        <w:rPr>
          <w:rFonts w:cs="Times New Roman"/>
          <w:szCs w:val="24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79" w:tooltip="file:///D:\Source\Ses\Docs\Оглавление%20том%202%20%20О.М..docx#bookmark68" w:anchor="bookmark68" w:history="1">
        <w:bookmarkStart w:id="121" w:name="_Toc30081869"/>
        <w:bookmarkStart w:id="122" w:name="_Toc30085104"/>
        <w:bookmarkStart w:id="123" w:name="_Toc32845370"/>
        <w:bookmarkStart w:id="124" w:name="_Toc204085714"/>
        <w:r>
          <w:t xml:space="preserve">Часть 5. СУЩЕСТВУЮЩИЙ И ПЕРСПЕКТИВНЫЙ БАЛАНС ПРОИЗВОДИТЕЛЬНОСТИ</w:t>
        </w:r>
      </w:hyperlink>
      <w:r>
        <w:t xml:space="preserve"> </w:t>
      </w:r>
      <w:hyperlink r:id="rId80" w:tooltip="file:///D:\Source\Ses\Docs\Оглавление%20том%202%20%20О.М..docx#bookmark68" w:anchor="bookmark68" w:history="1">
        <w:r>
          <w:t xml:space="preserve">ВОДОПОДГОТОВИТЕЛЬНЫХ УСТАНОВОК И ПОТЕРЬ ТЕПЛОНОСИТЕЛЯ С УЧЕТОМ</w:t>
        </w:r>
      </w:hyperlink>
      <w:r>
        <w:t xml:space="preserve"> </w:t>
      </w:r>
      <w:hyperlink r:id="rId81" w:tooltip="file:///D:\Source\Ses\Docs\Оглавление%20том%202%20%20О.М..docx#bookmark68" w:anchor="bookmark68" w:history="1">
        <w:r>
          <w:t xml:space="preserve">РАЗВИТИЯ СИСТЕМЫ ТЕПЛОСНАБЖЕНИЯ</w:t>
        </w:r>
        <w:bookmarkEnd w:id="121"/>
        <w:bookmarkEnd w:id="122"/>
        <w:bookmarkEnd w:id="123"/>
        <w:bookmarkEnd w:id="124"/>
      </w:hyperlink>
      <w:r/>
      <w:r/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  <w:szCs w:val="24"/>
        </w:rPr>
        <w:t xml:space="preserve">Существующий и прогнозируемый баланс производительности водоподготовительных установок на источниках тепловой Печенгского муниципального округа приведены также в таблице 6.4.1</w:t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6.4.1 - Расход подпиточной воды для эксплуатационного и аварийного режимов, в зоне действия источников тепловой энергии</w:t>
      </w:r>
      <w:r>
        <w:rPr>
          <w:rFonts w:cs="Times New Roman"/>
        </w:rPr>
      </w:r>
    </w:p>
    <w:tbl>
      <w:tblPr>
        <w:tblW w:w="15340" w:type="dxa"/>
        <w:tblInd w:w="-5" w:type="dxa"/>
        <w:tblLook w:val="04A0" w:firstRow="1" w:lastRow="0" w:firstColumn="1" w:lastColumn="0" w:noHBand="0" w:noVBand="1"/>
      </w:tblPr>
      <w:tblGrid>
        <w:gridCol w:w="3433"/>
        <w:gridCol w:w="960"/>
        <w:gridCol w:w="1287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>
        <w:tblPrEx/>
        <w:trPr>
          <w:trHeight w:val="301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/>
            <w:bookmarkStart w:id="125" w:name="_Hlk204006248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Наименование теплоисточника, показателя, теплоснабжающей организации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Ед. изм.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2033-2038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2039-2043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ЕТО-1 АО "МЭС"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7881,13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123,6829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19,703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157,623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157,623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157,623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157,623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157,623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157,623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157,623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157,623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157,623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157,623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157,623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1660,19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Присоединённая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33,204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33,204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33,204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33,204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33,204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33,204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33,204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33,204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33,204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33,204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33,204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ЕТО-2 ПАО «ТГК-1»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Электрокотельная "К-1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5" нп. Раякоски, тепловые сети ГО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УП «Сети Никеля»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Электрокотельная "М-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4" нп. Раякоски, тепловые сети ГО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УП «Сети Никеля»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ЕТО-3 ООО «ПромВоенСтрой»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5,100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133,38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87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2,3448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2,668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94,47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1,889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103,97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№15/176 н.п. Луостари (в.г. №15)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№5/106 н.п. Луостари (в.г. №5)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ЕТО-4 ООО «Теплонорд»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43,04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0,861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№4/115 ж/д ст. Печенга (19 км) (в.г. №4)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№4/179 ж/д ст. Печенга (19 км) (в.г. №4)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ddebf7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ЕТО-5 ФГБУ «ЦЖКУ» МО РФ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debf7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№25/52 пгт. Печенга (в.г. №25)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47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сети отсутствуют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№18/65 пгт. Печенга (в.г. №18)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1,040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№13/66 пгт. Печенга (в.г. №13)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№69/6 н.п. Вайда-Губа (в.г. №69)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№38/86 пгт. Печенга (в.г. №38)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47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сети отсутствуют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25 Котельная №21/90 пгт. Печенга (в.г. №21)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№21/110 пгт. Печенга (в.г. №21)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102,86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№21/149 пгт. Печенга (в.г. №21)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№12/151 н.п. Спутник (в.г. №12)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1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47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сети отсутствуют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№25/46 пгт. Печенга (в.г. №25)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Котельная №42/188 пгт. Печенга (в.г. №42)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1"/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1094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сети отсутствуют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Присоединенная тепловая нагрузка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Нормативная величина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Аварийная подпитка тепловых сетей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м3/ч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bookmarkEnd w:id="125"/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rPr>
          <w:rFonts w:cs="Times New Roman"/>
        </w:rPr>
        <w:sectPr>
          <w:footnotePr/>
          <w:endnotePr/>
          <w:type w:val="nextPage"/>
          <w:pgSz w:w="16838" w:h="11906" w:orient="landscape"/>
          <w:pgMar w:top="1276" w:right="850" w:bottom="1134" w:left="709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126" w:name="_Toc45022346"/>
      <w:r/>
      <w:bookmarkStart w:id="127" w:name="_Toc53927669"/>
      <w:r/>
      <w:bookmarkStart w:id="128" w:name="_Toc204085715"/>
      <w:r>
        <w:t xml:space="preserve">Часть 6. ОПИСАНИЕ ИЗМЕНЕНИЙ В СУЩЕСТВУЮЩИ</w:t>
      </w:r>
      <w:r>
        <w:t xml:space="preserve">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</w:r>
      <w:bookmarkEnd w:id="126"/>
      <w:r/>
      <w:bookmarkEnd w:id="127"/>
      <w:r/>
      <w:bookmarkEnd w:id="128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946"/>
        <w:ind w:left="218" w:right="229" w:firstLine="566"/>
        <w:jc w:val="both"/>
        <w:rPr>
          <w:spacing w:val="-1"/>
        </w:rPr>
      </w:pPr>
      <w:r>
        <w:rPr>
          <w:spacing w:val="-1"/>
        </w:rPr>
        <w:t xml:space="preserve">Откорректировали согласно предоставленных данных.</w:t>
      </w:r>
      <w:r>
        <w:rPr>
          <w:spacing w:val="-1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  <w:rPr>
          <w:sz w:val="28"/>
          <w:szCs w:val="28"/>
        </w:rPr>
      </w:pPr>
      <w:r/>
      <w:hyperlink r:id="rId82" w:tooltip="file:///D:\Source\Ses\Docs\Оглавление%20том%202%20%20О.М..docx#bookmark69" w:anchor="bookmark69" w:history="1">
        <w:bookmarkStart w:id="129" w:name="_Toc45625237"/>
        <w:bookmarkStart w:id="130" w:name="_Toc204085716"/>
        <w:r>
          <w:rPr>
            <w:sz w:val="28"/>
            <w:szCs w:val="28"/>
          </w:rPr>
          <w:t xml:space="preserve">ГЛАВА 7. </w:t>
        </w:r>
      </w:hyperlink>
      <w:r>
        <w:rPr>
          <w:sz w:val="28"/>
          <w:szCs w:val="28"/>
        </w:rPr>
        <w:t xml:space="preserve"> ПРЕДЛОЖЕНИЯ ПО СТРОИТЕЛЬСТВУ, РЕКОНСТРУКЦИИ, ТЕХНИЧЕСКОМУ ПЕРЕВООРУЖЕНИЮ И (ИЛИ) МОДЕРНИЗАЦИИ ИСТОЧНИКОВ ТЕПЛОВОЙ ЭНЕРГИИ</w:t>
      </w:r>
      <w:bookmarkEnd w:id="129"/>
      <w:r/>
      <w:bookmarkEnd w:id="130"/>
      <w:r/>
      <w:r>
        <w:rPr>
          <w:sz w:val="28"/>
          <w:szCs w:val="28"/>
        </w:rPr>
      </w:r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83" w:tooltip="file:///D:\Source\Ses\Docs\Оглавление%20том%202%20%20О.М..docx#bookmark70" w:anchor="bookmark70" w:history="1">
        <w:bookmarkStart w:id="131" w:name="_Toc30081871"/>
        <w:bookmarkStart w:id="132" w:name="_Toc30085106"/>
        <w:bookmarkStart w:id="133" w:name="_Toc32845372"/>
        <w:bookmarkStart w:id="134" w:name="_Toc204085717"/>
        <w:r>
          <w:t xml:space="preserve">Часть 1. ОПИСАНИЕ УСЛОВИЙ ОРГАНИЗАЦИИ ЦЕНТРАЛИЗОВАННОГО</w:t>
        </w:r>
      </w:hyperlink>
      <w:r>
        <w:t xml:space="preserve"> </w:t>
      </w:r>
      <w:hyperlink r:id="rId84" w:tooltip="file:///D:\Source\Ses\Docs\Оглавление%20том%202%20%20О.М..docx#bookmark70" w:anchor="bookmark70" w:history="1">
        <w:r>
          <w:t xml:space="preserve">ТЕПЛОСНАБЖЕНИЯ, ИНДИВИДУАЛЬНОГО ТЕПЛОСНАБЖЕНИЯ, А ТАКЖЕ</w:t>
        </w:r>
      </w:hyperlink>
      <w:r>
        <w:t xml:space="preserve"> </w:t>
      </w:r>
      <w:hyperlink r:id="rId85" w:tooltip="file:///D:\Source\Ses\Docs\Оглавление%20том%202%20%20О.М..docx#bookmark70" w:anchor="bookmark70" w:history="1">
        <w:r>
          <w:t xml:space="preserve">ПОКВАРТИРНОГО ОТОПЛЕНИЯ</w:t>
        </w:r>
        <w:bookmarkEnd w:id="131"/>
        <w:bookmarkEnd w:id="132"/>
        <w:bookmarkEnd w:id="133"/>
        <w:bookmarkEnd w:id="134"/>
      </w:hyperlink>
      <w:r/>
      <w:r/>
    </w:p>
    <w:p>
      <w:pPr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Согласно статье 14 Федерального закона №190-ФЗ «О теплоснабжении» от 27.07.2010 года, п</w:t>
      </w:r>
      <w:r>
        <w:rPr>
          <w:rFonts w:cs="Times New Roman"/>
          <w:szCs w:val="24"/>
        </w:rPr>
        <w:t xml:space="preserve">одключение теплопотребляющих установок и тепловых сетей потребителей тепловой энергии, в том числе застройщиков, к системе теплоснабжения осуществляется в порядке, установленном законодательством о градостроительной деятельности для подключения объектов ка</w:t>
      </w:r>
      <w:r>
        <w:rPr>
          <w:rFonts w:cs="Times New Roman"/>
          <w:szCs w:val="24"/>
        </w:rPr>
        <w:t xml:space="preserve">питального строительства к сетям инженерно-технического обеспечения, с учётом особенностей, предусмотренных Федеральным законом №190-ФЗ «О теплоснабжении» и правилами подключения к системам теплоснабжения, утверждёнными Правительством Российской Федерации.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Подключение осуществляется на основании договора </w:t>
      </w:r>
      <w:r>
        <w:rPr>
          <w:rFonts w:cs="Times New Roman"/>
          <w:szCs w:val="24"/>
        </w:rPr>
        <w:t xml:space="preserve">на подключение к системе теплоснабжения, который является публичным для теплоснабжающей организации, теплосетевой организации. Правила выбора теплоснабжающей организации или теплосетевой организации, к которой следует обращаться заинтересованным в подключе</w:t>
      </w:r>
      <w:r>
        <w:rPr>
          <w:rFonts w:cs="Times New Roman"/>
          <w:szCs w:val="24"/>
        </w:rPr>
        <w:t xml:space="preserve">нии к системе теплоснабжения лицам, и которая не вправе отказать им в услуге по такому подключению и в заключении соответствующего договора, устанавливаются правилами подключения к системам теплоснабжения, утверждёнными Правительством Российской Федерации.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При наличии технической возможности подключения к системе теплоснабжени</w:t>
      </w:r>
      <w:r>
        <w:rPr>
          <w:rFonts w:cs="Times New Roman"/>
          <w:szCs w:val="24"/>
        </w:rPr>
        <w:t xml:space="preserve">я и при наличии свободной мощности в соответствующей точке подключения отказ потребителю, в том числе застройщику, в заключении договора на подключение объекта капитального строительства, находящегося в границах определённого схемой теплоснабжения радиуса </w:t>
      </w:r>
      <w:r>
        <w:rPr>
          <w:rFonts w:cs="Times New Roman"/>
          <w:szCs w:val="24"/>
        </w:rPr>
        <w:t xml:space="preserve">эффективного теплоснабжения, не допускается.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теплоснабжения, утверждёнными Правительством Российской Федерации.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потребителя, в том числе з</w:t>
      </w:r>
      <w:r>
        <w:rPr>
          <w:rFonts w:cs="Times New Roman"/>
          <w:szCs w:val="24"/>
        </w:rPr>
        <w:t xml:space="preserve">астройщика, но при наличии в утверждённой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ограничений, позволяющих обеспечить техн</w:t>
      </w:r>
      <w:r>
        <w:rPr>
          <w:rFonts w:cs="Times New Roman"/>
          <w:szCs w:val="24"/>
        </w:rPr>
        <w:t xml:space="preserve">ическую возможность подключения к системе теплоснабжения объекта капитального строительства, отказ в заключении договора на его подключение не допускается. Нормативные сроки его подключения к системе теплоснабжения устанавливаются в соответствии с инвестиц</w:t>
      </w:r>
      <w:r>
        <w:rPr>
          <w:rFonts w:cs="Times New Roman"/>
          <w:szCs w:val="24"/>
        </w:rPr>
        <w:t xml:space="preserve">ионной программой теплоснабжающей организации или теплосетевой организации в пределах нормативных сроков подключения к системе теплоснабжения, установленных правилами подключения к системам теплоснабжения, утверждёнными Правительством Российской Федерации.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случае технической невозможности по</w:t>
      </w:r>
      <w:r>
        <w:rPr>
          <w:rFonts w:cs="Times New Roman"/>
          <w:szCs w:val="24"/>
        </w:rPr>
        <w:t xml:space="preserve">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потребителя, в том числе застройщика, и при отсутствии в утверждённой в </w:t>
      </w:r>
      <w:r>
        <w:rPr>
          <w:rFonts w:cs="Times New Roman"/>
          <w:szCs w:val="24"/>
        </w:rPr>
        <w:t xml:space="preserve">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ограничений, позволяющих обеспечить техническую возможность подключения к системе те</w:t>
      </w:r>
      <w:r>
        <w:rPr>
          <w:rFonts w:cs="Times New Roman"/>
          <w:szCs w:val="24"/>
        </w:rPr>
        <w:t xml:space="preserve">плоснабжения этого объекта капитального строительства, теплоснабжающая организация или теплосетевая организация в сроки и в порядке, которые установлены правилами подключения к системам теплоснабжения, утверждёнными Правительством Российской Федерации, обя</w:t>
      </w:r>
      <w:r>
        <w:rPr>
          <w:rFonts w:cs="Times New Roman"/>
          <w:szCs w:val="24"/>
        </w:rPr>
        <w:t xml:space="preserve">зана обратиться в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с предложением о включении в неё мероприятий по об</w:t>
      </w:r>
      <w:r>
        <w:rPr>
          <w:rFonts w:cs="Times New Roman"/>
          <w:szCs w:val="24"/>
        </w:rPr>
        <w:t xml:space="preserve">еспечению технической возможности подключения к системе теплоснабжения этого объекта капитального строительства. Федеральный орган исполнительной власти, уполномоченный на реализацию государственной политики в сфере теплоснабжения, или орган местного самоу</w:t>
      </w:r>
      <w:r>
        <w:rPr>
          <w:rFonts w:cs="Times New Roman"/>
          <w:szCs w:val="24"/>
        </w:rPr>
        <w:t xml:space="preserve">правления, утвердивший схему теплоснабжения, в сроки, в порядке и на основании критериев, которые установлены порядком разработки и утверждения схем теплоснабжения, утверждённым Правительством Российской Федерации, принимает решение о внесении изменений в </w:t>
      </w:r>
      <w:r>
        <w:rPr>
          <w:rFonts w:cs="Times New Roman"/>
          <w:szCs w:val="24"/>
        </w:rPr>
        <w:t xml:space="preserve">схему теплоснабжения или об отказе во внесении в нее таких изменений. В случае, если теплоснабжающая или теплосетевая организация не направит в установленный срок и (или) представит с нарушением установленного порядка в федеральный орган исполнительной вла</w:t>
      </w:r>
      <w:r>
        <w:rPr>
          <w:rFonts w:cs="Times New Roman"/>
          <w:szCs w:val="24"/>
        </w:rPr>
        <w:t xml:space="preserve">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предложения о включении в нее соответствующих мероприятий, потребитель, в том числе застройщик, вправе п</w:t>
      </w:r>
      <w:r>
        <w:rPr>
          <w:rFonts w:cs="Times New Roman"/>
          <w:szCs w:val="24"/>
        </w:rPr>
        <w:t xml:space="preserve">отребовать возмещения убытков, причинённых данным нарушением, и (или)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программу. После принятия органом регулирования решени</w:t>
      </w:r>
      <w:r>
        <w:rPr>
          <w:rFonts w:cs="Times New Roman"/>
          <w:szCs w:val="24"/>
        </w:rPr>
        <w:t xml:space="preserve">я об изменении инвестиционной программы он обязан учесть внесённое в указанную инвестиционную программу изменение при установлении тарифов в сфере теплоснабжения в сроки и в порядке, которые определяются основами ценообразования в сфере теплоснабжения и пр</w:t>
      </w:r>
      <w:r>
        <w:rPr>
          <w:rFonts w:cs="Times New Roman"/>
          <w:szCs w:val="24"/>
        </w:rPr>
        <w:t xml:space="preserve">авилами регулирования цен (тарифов) в сфере теплоснабжения, утверждёнными Правительством Российской Федерации. Нормативные сроки подключения объекта капитального строительства устанавливаются в соответствии с инвестиционной программой теплоснабжающей орган</w:t>
      </w:r>
      <w:r>
        <w:rPr>
          <w:rFonts w:cs="Times New Roman"/>
          <w:szCs w:val="24"/>
        </w:rPr>
        <w:t xml:space="preserve">изации или теплосетевой организации, в которую внесены изменения, с учётом нормативных сроков подключения объектов капитального строительства, установленных правилами подключения к системам теплоснабжения, утверждёнными Правительством Российской Федерации.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Таким образом, вновь вводимые потребители, обратившиеся соответствующим образом в теплоснабжающую организацию, должны быть подключены к централизованному теплоснабжению, если такое подсоединение возможно в перспективе. 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 потребителями, находящимися за границей радиуса эффективного тепл</w:t>
      </w:r>
      <w:r>
        <w:rPr>
          <w:rFonts w:cs="Times New Roman"/>
          <w:szCs w:val="24"/>
        </w:rPr>
        <w:t xml:space="preserve">оснабжения, могут быть заключены договора долгосрочного теплоснабжения по свободной (обоюдно приемлемой) цене, в целях компенсации затрат на строительство новых и реконструкцию существующих тепловых сетей, и увеличению радиуса эффективного теплоснабжения. 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Кроме того, согласно СП 42.13330.2016 «Градостроительство. Планировка и застройка городских и сельских поселений», в районах многоквартирной жилой застройки малой этажн</w:t>
      </w:r>
      <w:r>
        <w:rPr>
          <w:rFonts w:cs="Times New Roman"/>
          <w:szCs w:val="24"/>
        </w:rPr>
        <w:t xml:space="preserve">ости, а также одно-двухквартирной жилой застройки с приусадебными (приквартирными)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</w:t>
      </w:r>
      <w:r>
        <w:rPr>
          <w:rFonts w:cs="Times New Roman"/>
          <w:szCs w:val="24"/>
        </w:rPr>
        <w:t xml:space="preserve">ических регламентов, экологических, санитарно-гигиенических, а также противопожарных требований Групповые котельные допускается размещать на селитебной территории с целью сокращения потерь при транспорте теплоносителя и снижения тарифа на тепловую энергию.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Согласно СП 60.13330.2020 «Отопление, вентиляция и кондиционирование воздуха», для индивидуального теплоснабжения зданий следует применять теплогенераторы полной заводской готовности на газообразном, жидком </w:t>
      </w:r>
      <w:r>
        <w:rPr>
          <w:rFonts w:cs="Times New Roman"/>
          <w:szCs w:val="24"/>
        </w:rPr>
        <w:t xml:space="preserve">и твёрдом топливе общей теплопроизводительностью до 360 кВт с параметрами теплоносителя не более 95оС и 0,6 Мпа. Теплогенераторы следует размещать в отдельном помещении на любом надземном этаже, а также в цокольном и подвальном этажах отапливаемого здания.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Условия организации поквартирного теплоснабжения определены в СП 54.13330.2022 «Здания жилые многоквартирные» и СП 60.13330.2020 «Отопление, вентиляция и кондиционирование воздуха.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Существующие и планируемые к застройке потребители, вправе использовать для отопления индивидуальные источники теплоснабжения. Использование автономных источников теплоснабжения целесообразно в случаях: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•</w:t>
      </w:r>
      <w:r>
        <w:rPr>
          <w:rFonts w:cs="Times New Roman"/>
          <w:szCs w:val="24"/>
        </w:rPr>
        <w:t xml:space="preserve"> значительной удалённости от существующих и перспективных тепловых сетей;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•</w:t>
      </w:r>
      <w:r>
        <w:rPr>
          <w:rFonts w:cs="Times New Roman"/>
          <w:szCs w:val="24"/>
        </w:rPr>
        <w:t xml:space="preserve"> малой подключаемой нагрузки (менее 0,01 Гкал/ч);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•</w:t>
      </w:r>
      <w:r>
        <w:rPr>
          <w:rFonts w:cs="Times New Roman"/>
          <w:szCs w:val="24"/>
        </w:rPr>
        <w:t xml:space="preserve"> отсутствия резервов тепловой мощности в границах застройки на данный момент и в рассматриваемой перспективе;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•</w:t>
      </w:r>
      <w:r>
        <w:rPr>
          <w:rFonts w:cs="Times New Roman"/>
          <w:szCs w:val="24"/>
        </w:rPr>
        <w:t xml:space="preserve"> использования тепловой энергии в технологических целях. 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Потребители, отопление которых осуществляется от индивидуальных источников, могут быть подключены к централизованному теплоснабжению на условиях организации централизованного теплоснабжения.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Согласно п.15 ст. 14 Федерального закона №190-ФЗ «О теплоснабжении» запрещается переход на отопление жилых помещений в многоквартирных домах с использованием индивидуальных квартирных источников т</w:t>
      </w:r>
      <w:r>
        <w:rPr>
          <w:rFonts w:cs="Times New Roman"/>
          <w:szCs w:val="24"/>
        </w:rPr>
        <w:t xml:space="preserve">епловой энергии, перечень которых определяется правилами подключения к системам теплоснабжения, утверждёнными Правительством Российской Федерации, при наличии осуществлённого в надлежащем порядке подключения к системам теплоснабжения многоквартирных домов.</w:t>
      </w:r>
      <w:r>
        <w:rPr>
          <w:rFonts w:cs="Times New Roman"/>
          <w:szCs w:val="24"/>
        </w:rPr>
      </w:r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86" w:tooltip="file:///D:\Source\Ses\Docs\Оглавление%20том%202%20%20О.М..docx#bookmark71" w:anchor="bookmark71" w:history="1">
        <w:bookmarkStart w:id="135" w:name="_Toc30081872"/>
        <w:bookmarkStart w:id="136" w:name="_Toc30085107"/>
        <w:bookmarkStart w:id="137" w:name="_Toc32845373"/>
        <w:bookmarkStart w:id="138" w:name="_Toc204085718"/>
        <w:r>
          <w:t xml:space="preserve">Часть 2. ОПИСАНИЕ ТЕКУЩЕЙ СИТУАЦИИ, СВЯЗАННОЙ С РАНЕЕ ПРИНЯТЫМИ В</w:t>
        </w:r>
      </w:hyperlink>
      <w:r>
        <w:t xml:space="preserve"> </w:t>
      </w:r>
      <w:hyperlink r:id="rId87" w:tooltip="file:///D:\Source\Ses\Docs\Оглавление%20том%202%20%20О.М..docx#bookmark71" w:anchor="bookmark71" w:history="1">
        <w:r>
          <w:t xml:space="preserve">СООТВЕТСТВИИ С ЗАКОНОДАТЕЛЬСТВОМ РОССИЙСКОЙ ФЕДЕРАЦИИ ОБ</w:t>
        </w:r>
      </w:hyperlink>
      <w:r>
        <w:t xml:space="preserve"> </w:t>
      </w:r>
      <w:hyperlink r:id="rId88" w:tooltip="file:///D:\Source\Ses\Docs\Оглавление%20том%202%20%20О.М..docx#bookmark71" w:anchor="bookmark71" w:history="1">
        <w:r>
          <w:t xml:space="preserve">ЭЛЕКТРОЭНЕРГЕТИКЕ РЕШЕНИЯМИ ОБ ОТНЕСЕНИИ ГЕНЕРИРУЮЩИХ ОБЪЕКТОВ</w:t>
        </w:r>
      </w:hyperlink>
      <w:r>
        <w:t xml:space="preserve"> </w:t>
      </w:r>
      <w:hyperlink r:id="rId89" w:tooltip="file:///D:\Source\Ses\Docs\Оглавление%20том%202%20%20О.М..docx#bookmark71" w:anchor="bookmark71" w:history="1">
        <w:r>
          <w:t xml:space="preserve">К ГЕНЕРИРУЮЩИМ ОБЪЕКТАМ, МОЩНОСТЬ КОТОРЫХ ПОСТАВЛЯЕТСЯ В</w:t>
        </w:r>
      </w:hyperlink>
      <w:r>
        <w:t xml:space="preserve"> </w:t>
      </w:r>
      <w:hyperlink r:id="rId90" w:tooltip="file:///D:\Source\Ses\Docs\Оглавление%20том%202%20%20О.М..docx#bookmark71" w:anchor="bookmark71" w:history="1">
        <w:r>
          <w:t xml:space="preserve">ВЫНУЖДЕННОМ РЕЖИМЕ В ЦЕЛЯХ ОБЕСПЕЧЕНИЯ НАДЕЖНОГО</w:t>
        </w:r>
      </w:hyperlink>
      <w:r>
        <w:t xml:space="preserve"> </w:t>
      </w:r>
      <w:hyperlink r:id="rId91" w:tooltip="file:///D:\Source\Ses\Docs\Оглавление%20том%202%20%20О.М..docx#bookmark71" w:anchor="bookmark71" w:history="1">
        <w:r>
          <w:t xml:space="preserve">ТЕПЛОСНАБЖЕНИЯ ПОТРЕБИТЕЛЕЙ</w:t>
        </w:r>
        <w:bookmarkEnd w:id="135"/>
        <w:bookmarkEnd w:id="136"/>
        <w:bookmarkEnd w:id="137"/>
        <w:bookmarkEnd w:id="138"/>
      </w:hyperlink>
      <w:r/>
      <w:r/>
    </w:p>
    <w:p>
      <w:pPr>
        <w:ind w:firstLine="709"/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ind w:firstLine="709"/>
        <w:jc w:val="both"/>
        <w:rPr>
          <w:rFonts w:cs="Times New Roman" w:eastAsiaTheme="minorEastAsia"/>
          <w:spacing w:val="-1"/>
          <w:szCs w:val="24"/>
          <w:lang w:eastAsia="ru-RU"/>
        </w:rPr>
      </w:pPr>
      <w:r>
        <w:rPr>
          <w:rFonts w:cs="Times New Roman"/>
          <w:szCs w:val="24"/>
        </w:rPr>
        <w:t xml:space="preserve">Указанные объекты отсутствуют.</w:t>
      </w:r>
      <w:r>
        <w:rPr>
          <w:rFonts w:cs="Times New Roman" w:eastAsiaTheme="minorEastAsia"/>
          <w:spacing w:val="-1"/>
          <w:szCs w:val="24"/>
          <w:lang w:eastAsia="ru-RU"/>
        </w:rPr>
      </w:r>
    </w:p>
    <w:p>
      <w:pPr>
        <w:jc w:val="both"/>
        <w:rPr>
          <w:rFonts w:cs="Times New Roman" w:eastAsiaTheme="minorEastAsia"/>
          <w:szCs w:val="24"/>
          <w:lang w:eastAsia="ru-RU"/>
        </w:rPr>
      </w:pPr>
      <w:r>
        <w:rPr>
          <w:rFonts w:cs="Times New Roman" w:eastAsiaTheme="minorEastAsia"/>
          <w:szCs w:val="24"/>
          <w:lang w:eastAsia="ru-RU"/>
        </w:rPr>
      </w:r>
      <w:r>
        <w:rPr>
          <w:rFonts w:cs="Times New Roman" w:eastAsiaTheme="minorEastAsia"/>
          <w:szCs w:val="24"/>
          <w:lang w:eastAsia="ru-RU"/>
        </w:rPr>
      </w:r>
    </w:p>
    <w:p>
      <w:pPr>
        <w:pStyle w:val="717"/>
        <w:ind w:left="0" w:firstLine="0"/>
      </w:pPr>
      <w:r/>
      <w:hyperlink r:id="rId92" w:tooltip="file:///D:\Source\Ses\Docs\Оглавление%20том%202%20%20О.М..docx#bookmark72" w:anchor="bookmark72" w:history="1">
        <w:bookmarkStart w:id="139" w:name="_Toc204085719"/>
        <w:bookmarkStart w:id="140" w:name="_Toc30081873"/>
        <w:bookmarkStart w:id="141" w:name="_Toc30085108"/>
        <w:bookmarkStart w:id="142" w:name="_Toc32845374"/>
        <w:r>
          <w:t xml:space="preserve">Часть 3. АНАЛИЗ НАДЕЖНОСТИ И КАЧЕСТВА ТЕПЛОСНАБЖЕНИЯ ДЛЯ СЛУЧАЕВ ОТНЕСЕНИЯ ГЕНЕР</w:t>
        </w:r>
        <w:r>
          <w:t xml:space="preserve">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</w:t>
        </w:r>
        <w:r>
          <w:t xml:space="preserve">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ПЕРИОД), В СООТВЕТСТВИИ С МЕТОДИЧЕСКИМИ УКАЗАНИЯМИ ПО РАЗРАБОТКЕ СХЕМ ТЕПЛОСНАБЖЕНИЯ</w:t>
        </w:r>
        <w:bookmarkEnd w:id="139"/>
        <w:r>
          <w:t xml:space="preserve"> </w:t>
        </w:r>
      </w:hyperlink>
      <w:r/>
      <w:bookmarkEnd w:id="140"/>
      <w:r/>
      <w:bookmarkEnd w:id="141"/>
      <w:r/>
      <w:bookmarkEnd w:id="142"/>
      <w:r/>
      <w:r/>
    </w:p>
    <w:p>
      <w:pPr>
        <w:ind w:firstLine="709"/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ind w:firstLine="709"/>
        <w:jc w:val="both"/>
        <w:rPr>
          <w:rFonts w:cs="Times New Roman"/>
          <w:szCs w:val="23"/>
        </w:rPr>
      </w:pPr>
      <w:r>
        <w:rPr>
          <w:rFonts w:cs="Times New Roman"/>
          <w:szCs w:val="23"/>
        </w:rPr>
        <w:t xml:space="preserve">Указанные объекты отсутствуют.</w:t>
      </w:r>
      <w:r>
        <w:rPr>
          <w:rFonts w:cs="Times New Roman"/>
          <w:szCs w:val="23"/>
        </w:rPr>
      </w:r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143" w:name="_Toc30081874"/>
      <w:r/>
      <w:bookmarkStart w:id="144" w:name="_Toc30085109"/>
      <w:r/>
      <w:bookmarkStart w:id="145" w:name="_Toc32845375"/>
      <w:r/>
      <w:bookmarkStart w:id="146" w:name="_Toc204085720"/>
      <w:r>
        <w:t xml:space="preserve">Часть 4. ОБОСНОВАНИЕ ПРЕДЛАГАЕМЫХ ДЛЯ СТРОИТЕЛЬСТВА ИСТОЧНИКОВ ТЕПЛОВОЙ ЭНЕРГИИ, ФУНКЦИОНИРУЮЩИХ В РЕЖИМЕ КОМБИНИРОВАННОЙ ВЫРАБОТКОЙ ЭЛЕКТРИЧЕСКОЙ И ТЕПЛОВОЙ ЭНЕРГИИ, ДЛЯ ОБЕСПЕЧЕНИЯ ПЕРСПЕКТИВНЫХ ТЕПЛОВЫХ НАГРУЗОК</w:t>
      </w:r>
      <w:bookmarkEnd w:id="143"/>
      <w:r/>
      <w:bookmarkEnd w:id="144"/>
      <w:r/>
      <w:bookmarkEnd w:id="145"/>
      <w:r/>
      <w:bookmarkEnd w:id="146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3"/>
        </w:rPr>
      </w:pPr>
      <w:r>
        <w:rPr>
          <w:rFonts w:cs="Times New Roman"/>
          <w:szCs w:val="23"/>
        </w:rPr>
        <w:t xml:space="preserve">Строительство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 схемой теплоснабжения не предусмотрено. </w:t>
      </w:r>
      <w:r>
        <w:rPr>
          <w:rFonts w:cs="Times New Roman"/>
          <w:szCs w:val="23"/>
        </w:rPr>
      </w:r>
    </w:p>
    <w:p>
      <w:pPr>
        <w:pStyle w:val="723"/>
      </w:pPr>
      <w:r/>
      <w:bookmarkStart w:id="147" w:name="_Toc45625242"/>
      <w:r/>
      <w:r/>
    </w:p>
    <w:p>
      <w:pPr>
        <w:pStyle w:val="717"/>
        <w:ind w:left="0" w:firstLine="0"/>
      </w:pPr>
      <w:r/>
      <w:bookmarkStart w:id="148" w:name="_Toc204085721"/>
      <w:r>
        <w:t xml:space="preserve">Часть 5. ОБОСНОВАНИЕ ПРЕДЛАГАЕМЫХ ДЛЯ РЕКОНСТРУКЦИИ И (ИЛИ) МОДЕРНИЗАЦИИ ДЕЙСТВУЮЩИХ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ПРИРОСТОВ ТЕПЛОВЫХ НАГРУЗОК</w:t>
      </w:r>
      <w:bookmarkEnd w:id="147"/>
      <w:r/>
      <w:bookmarkEnd w:id="148"/>
      <w:r/>
      <w:r/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3"/>
        </w:rPr>
      </w:pPr>
      <w:r>
        <w:rPr>
          <w:rFonts w:cs="Times New Roman"/>
          <w:szCs w:val="23"/>
        </w:rPr>
        <w:t xml:space="preserve">Источники тепловой энергии</w:t>
      </w:r>
      <w:r>
        <w:rPr>
          <w:rFonts w:cs="Times New Roman"/>
          <w:szCs w:val="23"/>
        </w:rPr>
        <w:t xml:space="preserve">, </w:t>
      </w:r>
      <w:r>
        <w:rPr>
          <w:rFonts w:cs="Times New Roman"/>
          <w:szCs w:val="23"/>
        </w:rPr>
        <w:t xml:space="preserve">функционирующие</w:t>
      </w:r>
      <w:r>
        <w:rPr>
          <w:rFonts w:cs="Times New Roman"/>
          <w:szCs w:val="23"/>
        </w:rPr>
        <w:t xml:space="preserve"> в режиме комбинированной выработки, отсутствуют.</w:t>
      </w:r>
      <w:r>
        <w:rPr>
          <w:rFonts w:cs="Times New Roman"/>
          <w:szCs w:val="23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149" w:name="_Toc204085722"/>
      <w:r>
        <w:t xml:space="preserve">Часть 6. </w:t>
      </w:r>
      <w:r>
        <w:t xml:space="preserve">ОБОСНОВАНИЕ ПРЕДЛОЖЕНИЙ ПО ПЕРЕОБОРУДОВАНИЮ КОТЕЛЬНЫХ В ИСТОЧНИКИ ТЕПЛОВОЙ ЭНЕРГИИ, </w:t>
      </w:r>
      <w:r>
        <w:t xml:space="preserve">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</w:t>
      </w:r>
      <w:bookmarkEnd w:id="149"/>
      <w:r/>
      <w:r/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3"/>
        </w:rPr>
      </w:pPr>
      <w:r>
        <w:rPr>
          <w:rFonts w:cs="Times New Roman"/>
          <w:szCs w:val="24"/>
        </w:rPr>
        <w:t xml:space="preserve">Мероприятия по реконструкции котельных для выработки электроэнергии в комбинированном цикле на базе существующих и перспективных тепловых нагрузок не планируются.</w:t>
      </w:r>
      <w:r>
        <w:rPr>
          <w:rFonts w:cs="Times New Roman"/>
          <w:szCs w:val="23"/>
        </w:rPr>
      </w:r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  <w:rPr>
          <w:sz w:val="28"/>
          <w:szCs w:val="23"/>
        </w:rPr>
      </w:pPr>
      <w:r/>
      <w:hyperlink r:id="rId93" w:tooltip="file:///D:\Source\Ses\Docs\Оглавление%20том%202%20%20О.М..docx#bookmark76" w:anchor="bookmark76" w:history="1">
        <w:bookmarkStart w:id="150" w:name="_Toc45625244"/>
        <w:bookmarkStart w:id="151" w:name="_Toc204085723"/>
        <w:bookmarkStart w:id="152" w:name="_Toc30081877"/>
        <w:bookmarkStart w:id="153" w:name="_Toc30085112"/>
        <w:bookmarkStart w:id="154" w:name="_Toc32845378"/>
        <w:r>
          <w:t xml:space="preserve">Часть 7. ОБОСНОВАНИЕ ПРЕДЛАГАЕМЫХ ДЛЯ РЕКОНСТРУКЦИИ И (ИЛИ) МОДЕРНИЗАЦИИ КОТЕЛЬНЫХ С УВЕЛИЧЕНИЕМ ЗОНЫ ИХ ДЕЙСТВИЯ ПУТЕМ ВКЛЮЧЕНИЯ В НЕЕ ЗОН ДЕЙСТВИЯ СУЩЕСТВУЮЩИХ ИСТОЧНИКОВ ТЕПЛОВОЙ ЭНЕРГИИ</w:t>
        </w:r>
        <w:bookmarkEnd w:id="150"/>
        <w:bookmarkEnd w:id="151"/>
        <w:r>
          <w:t xml:space="preserve"> </w:t>
        </w:r>
      </w:hyperlink>
      <w:r/>
      <w:bookmarkEnd w:id="152"/>
      <w:r/>
      <w:bookmarkEnd w:id="153"/>
      <w:r/>
      <w:bookmarkEnd w:id="154"/>
      <w:r/>
      <w:r>
        <w:rPr>
          <w:sz w:val="28"/>
          <w:szCs w:val="23"/>
        </w:rPr>
      </w:r>
    </w:p>
    <w:p>
      <w:pPr>
        <w:ind w:firstLine="709"/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ind w:firstLine="42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Реконструкция котельных с целью увеличения их зоны действия, за счёт включения в неё зон действия существующих источников тепловой энергии не планируется.</w:t>
      </w:r>
      <w:r>
        <w:rPr>
          <w:rFonts w:cs="Times New Roman"/>
          <w:szCs w:val="24"/>
        </w:rPr>
      </w:r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94" w:tooltip="file:///D:\Source\Ses\Docs\Оглавление%20том%202%20%20О.М..docx#bookmark77" w:anchor="bookmark77" w:history="1">
        <w:bookmarkStart w:id="155" w:name="_Toc30081878"/>
        <w:bookmarkStart w:id="156" w:name="_Toc30085113"/>
        <w:bookmarkStart w:id="157" w:name="_Toc32845379"/>
        <w:bookmarkStart w:id="158" w:name="_Toc204085724"/>
        <w:r>
          <w:t xml:space="preserve">Часть 8. ОБОСНОВАНИЕ ПРЕДЛАГАЕМЫХ ДЛЯ ПЕРЕВОДА В ПИКОВЫЙ РЕЖИМ</w:t>
        </w:r>
      </w:hyperlink>
      <w:r>
        <w:t xml:space="preserve"> </w:t>
      </w:r>
      <w:hyperlink r:id="rId95" w:tooltip="file:///D:\Source\Ses\Docs\Оглавление%20том%202%20%20О.М..docx#bookmark77" w:anchor="bookmark77" w:history="1">
        <w:r>
          <w:t xml:space="preserve">РАБОТЫ КОТЕЛЬНЫХ ПО ОТНОШЕНИЮ К ИСТОЧНИКАМ ТЕПЛОВОЙ ЭНЕРГИИ,</w:t>
        </w:r>
      </w:hyperlink>
      <w:r>
        <w:t xml:space="preserve"> </w:t>
      </w:r>
      <w:hyperlink r:id="rId96" w:tooltip="file:///D:\Source\Ses\Docs\Оглавление%20том%202%20%20О.М..docx#bookmark77" w:anchor="bookmark77" w:history="1">
        <w:r>
          <w:t xml:space="preserve">ФУНКЦИОНИРУЮЩИМ В РЕЖИМЕ КОМБИНИРОВАННОЙ ВЫРАБОТКИ</w:t>
        </w:r>
      </w:hyperlink>
      <w:r>
        <w:t xml:space="preserve"> </w:t>
      </w:r>
      <w:hyperlink r:id="rId97" w:tooltip="file:///D:\Source\Ses\Docs\Оглавление%20том%202%20%20О.М..docx#bookmark77" w:anchor="bookmark77" w:history="1">
        <w:r>
          <w:t xml:space="preserve">ЭЛЕКТРИЧЕСКОЙ И ТЕПЛОВОЙ ЭНЕРГИИ</w:t>
        </w:r>
        <w:bookmarkEnd w:id="155"/>
        <w:bookmarkEnd w:id="156"/>
        <w:bookmarkEnd w:id="157"/>
        <w:bookmarkEnd w:id="158"/>
      </w:hyperlink>
      <w:r/>
      <w:r/>
    </w:p>
    <w:p>
      <w:pPr>
        <w:ind w:firstLine="709"/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Перевод котельных в пиковый режим работы по отношению к источникам тепловой энергии с комбинированной выработкой тепловой и электрической энергии целесообразен в случаях:</w:t>
      </w:r>
      <w:r>
        <w:rPr>
          <w:rFonts w:cs="Times New Roman"/>
          <w:szCs w:val="24"/>
        </w:rPr>
      </w:r>
    </w:p>
    <w:p>
      <w:pPr>
        <w:ind w:firstLine="709"/>
        <w:jc w:val="both"/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расположения котельных и потребителей, подключенных к ним, в пределах радиуса эффективного теплоснабжения источника теплоэнергии с комбинированной выработкой тепло- и электроэнергии;</w:t>
      </w:r>
      <w:r>
        <w:rPr>
          <w:rFonts w:cs="Times New Roman"/>
          <w:szCs w:val="24"/>
        </w:rPr>
      </w:r>
    </w:p>
    <w:p>
      <w:pPr>
        <w:ind w:firstLine="709"/>
        <w:jc w:val="both"/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несоблюдения установленного температурного графика источником теплоэнергии с комбинированной выработкой тепло- и электроэнергии;</w:t>
      </w:r>
      <w:r>
        <w:rPr>
          <w:rFonts w:cs="Times New Roman"/>
          <w:szCs w:val="24"/>
        </w:rPr>
      </w:r>
    </w:p>
    <w:p>
      <w:pPr>
        <w:ind w:firstLine="709"/>
        <w:jc w:val="both"/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несоответствия оборудования котельных требованиям законодательства в области энергосбережения и повышения энергетической эффективности (например: высокий уровень износа оборудования, перерасход топливно-энергетических ресурсов и т.д.).</w:t>
      </w:r>
      <w:r>
        <w:rPr>
          <w:rFonts w:cs="Times New Roman"/>
          <w:szCs w:val="24"/>
        </w:rPr>
      </w:r>
    </w:p>
    <w:p>
      <w:pPr>
        <w:ind w:firstLine="709"/>
        <w:jc w:val="both"/>
        <w:spacing w:before="1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 результатам прове</w:t>
      </w:r>
      <w:r>
        <w:rPr>
          <w:rFonts w:cs="Times New Roman"/>
          <w:szCs w:val="24"/>
        </w:rPr>
        <w:t xml:space="preserve">дённого анализа установлено, что перевод действующих в Печенгском муниципальном округе котельных в пиковый режим работы нецелесообразен, ввиду несоответствия существующего положения в сфере производства и передачи тепловой энергии вышеприведённым условиям.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3"/>
        </w:rPr>
      </w:pPr>
      <w:r>
        <w:rPr>
          <w:rFonts w:cs="Times New Roman"/>
          <w:szCs w:val="23"/>
        </w:rPr>
      </w:r>
      <w:r>
        <w:rPr>
          <w:rFonts w:cs="Times New Roman"/>
          <w:szCs w:val="23"/>
        </w:rPr>
      </w:r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98" w:tooltip="file:///D:\Source\Ses\Docs\Оглавление%20том%202%20%20О.М..docx#bookmark78" w:anchor="bookmark78" w:history="1">
        <w:bookmarkStart w:id="159" w:name="_Toc30081879"/>
        <w:bookmarkStart w:id="160" w:name="_Toc30085114"/>
        <w:bookmarkStart w:id="161" w:name="_Toc32845380"/>
        <w:bookmarkStart w:id="162" w:name="_Toc204085725"/>
        <w:r>
          <w:t xml:space="preserve">Часть 9. ОБОСНОВАНИЕ ПРЕДЛОЖЕНИЙ ПО РАСШИРЕНИЮ ЗОН ДЕЙСТВИЯ</w:t>
        </w:r>
      </w:hyperlink>
      <w:r>
        <w:t xml:space="preserve"> </w:t>
      </w:r>
      <w:hyperlink r:id="rId99" w:tooltip="file:///D:\Source\Ses\Docs\Оглавление%20том%202%20%20О.М..docx#bookmark78" w:anchor="bookmark78" w:history="1">
        <w:r>
          <w:t xml:space="preserve">ДЕЙСТВУЮЩИХ ИСТОЧНИКОВ ТЕПЛОВОЙ ЭНЕРГИИ, ФУНКЦИОНИРУЮЩИХ В</w:t>
        </w:r>
      </w:hyperlink>
      <w:r>
        <w:t xml:space="preserve"> </w:t>
      </w:r>
      <w:hyperlink r:id="rId100" w:tooltip="file:///D:\Source\Ses\Docs\Оглавление%20том%202%20%20О.М..docx#bookmark78" w:anchor="bookmark78" w:history="1">
        <w:r>
          <w:t xml:space="preserve">РЕЖИМЕ КОМБИНИРОВАННОЙ ВЫРАБОТКИ ЭЛЕКТРИЧЕСКОЙ И ТЕПЛОВОЙ</w:t>
        </w:r>
      </w:hyperlink>
      <w:r>
        <w:t xml:space="preserve"> </w:t>
      </w:r>
      <w:hyperlink r:id="rId101" w:tooltip="file:///D:\Source\Ses\Docs\Оглавление%20том%202%20%20О.М..docx#bookmark78" w:anchor="bookmark78" w:history="1">
        <w:r>
          <w:t xml:space="preserve">ЭНЕРГИИ</w:t>
        </w:r>
        <w:bookmarkEnd w:id="159"/>
        <w:bookmarkEnd w:id="160"/>
        <w:bookmarkEnd w:id="161"/>
        <w:bookmarkEnd w:id="162"/>
      </w:hyperlink>
      <w:r/>
      <w:r/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Источники тепловой энер</w:t>
      </w:r>
      <w:r>
        <w:rPr>
          <w:rFonts w:cs="Times New Roman"/>
          <w:spacing w:val="-1"/>
          <w:szCs w:val="24"/>
        </w:rPr>
        <w:t xml:space="preserve">гии, функционирующие в режиме</w:t>
      </w:r>
      <w:r>
        <w:rPr>
          <w:rFonts w:cs="Times New Roman"/>
          <w:szCs w:val="24"/>
        </w:rPr>
        <w:t xml:space="preserve"> комбинированной выработкой электрической и тепловой энергии, </w:t>
      </w:r>
      <w:r>
        <w:rPr>
          <w:rFonts w:cs="Times New Roman"/>
          <w:spacing w:val="-1"/>
          <w:szCs w:val="24"/>
        </w:rPr>
        <w:t xml:space="preserve">отсутствуют, поэтому </w:t>
      </w:r>
      <w:r>
        <w:rPr>
          <w:rFonts w:cs="Times New Roman"/>
          <w:szCs w:val="24"/>
        </w:rPr>
        <w:t xml:space="preserve">мероприятия</w:t>
      </w:r>
      <w:r>
        <w:rPr>
          <w:rFonts w:cs="Times New Roman"/>
          <w:spacing w:val="-1"/>
          <w:szCs w:val="24"/>
        </w:rPr>
        <w:t xml:space="preserve"> по </w:t>
      </w:r>
      <w:r>
        <w:rPr>
          <w:rFonts w:cs="Times New Roman"/>
          <w:szCs w:val="24"/>
        </w:rPr>
        <w:t xml:space="preserve">расширению их зоны действия не планируются.</w:t>
      </w:r>
      <w:r>
        <w:rPr>
          <w:rFonts w:cs="Times New Roman"/>
          <w:szCs w:val="24"/>
        </w:rPr>
      </w:r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102" w:tooltip="file:///D:\Source\Ses\Docs\Оглавление%20том%202%20%20О.М..docx#bookmark79" w:anchor="bookmark79" w:history="1">
        <w:bookmarkStart w:id="163" w:name="_Toc30081880"/>
        <w:bookmarkStart w:id="164" w:name="_Toc30085115"/>
        <w:bookmarkStart w:id="165" w:name="_Toc32845381"/>
        <w:bookmarkStart w:id="166" w:name="_Toc204085726"/>
        <w:r>
          <w:t xml:space="preserve">Часть 10. ОБОСНОВАНИЕ ПРЕДЛАГАЕМЫХ ДЛЯ ВЫВОДА В РЕЗЕРВ И (ИЛИ)</w:t>
        </w:r>
      </w:hyperlink>
      <w:r>
        <w:t xml:space="preserve"> </w:t>
      </w:r>
      <w:hyperlink r:id="rId103" w:tooltip="file:///D:\Source\Ses\Docs\Оглавление%20том%202%20%20О.М..docx#bookmark79" w:anchor="bookmark79" w:history="1">
        <w:r>
          <w:t xml:space="preserve">ВЫВОДА ИЗ ЭКСПЛУАТАЦИИ КОТЕЛЬНЫХ ПРИ ПЕРЕДАЧЕ ТЕПЛОВЫХ НАГРУЗОК</w:t>
        </w:r>
      </w:hyperlink>
      <w:r>
        <w:t xml:space="preserve"> </w:t>
      </w:r>
      <w:hyperlink r:id="rId104" w:tooltip="file:///D:\Source\Ses\Docs\Оглавление%20том%202%20%20О.М..docx#bookmark79" w:anchor="bookmark79" w:history="1">
        <w:r>
          <w:t xml:space="preserve">НА ДРУГИЕ ИСТОЧНИКИ ТЕПЛОВОЙ ЭНЕРГИИ</w:t>
        </w:r>
        <w:bookmarkEnd w:id="163"/>
        <w:bookmarkEnd w:id="164"/>
        <w:bookmarkEnd w:id="165"/>
        <w:bookmarkEnd w:id="166"/>
      </w:hyperlink>
      <w:r/>
      <w:r/>
    </w:p>
    <w:p>
      <w:pPr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ind w:firstLine="709"/>
        <w:jc w:val="both"/>
        <w:rPr>
          <w:rFonts w:cs="Times New Roman"/>
          <w:szCs w:val="23"/>
        </w:rPr>
      </w:pPr>
      <w:r>
        <w:rPr>
          <w:rFonts w:cs="Times New Roman"/>
          <w:szCs w:val="23"/>
        </w:rPr>
        <w:t xml:space="preserve">Указанные объекты отсутствуют.</w:t>
      </w:r>
      <w:r>
        <w:rPr>
          <w:rFonts w:cs="Times New Roman"/>
          <w:szCs w:val="23"/>
        </w:rPr>
      </w:r>
    </w:p>
    <w:p>
      <w:pPr>
        <w:jc w:val="both"/>
        <w:tabs>
          <w:tab w:val="left" w:pos="2340" w:leader="none"/>
        </w:tabs>
        <w:rPr>
          <w:rFonts w:cs="Times New Roman" w:eastAsiaTheme="minorEastAsia"/>
          <w:szCs w:val="24"/>
          <w:lang w:eastAsia="ru-RU"/>
        </w:rPr>
      </w:pPr>
      <w:r>
        <w:rPr>
          <w:rFonts w:cs="Times New Roman" w:eastAsiaTheme="minorEastAsia"/>
          <w:szCs w:val="24"/>
          <w:lang w:eastAsia="ru-RU"/>
        </w:rPr>
      </w:r>
      <w:r>
        <w:rPr>
          <w:rFonts w:cs="Times New Roman" w:eastAsiaTheme="minorEastAsia"/>
          <w:szCs w:val="24"/>
          <w:lang w:eastAsia="ru-RU"/>
        </w:rPr>
      </w:r>
    </w:p>
    <w:p>
      <w:pPr>
        <w:pStyle w:val="717"/>
        <w:ind w:left="0" w:firstLine="0"/>
      </w:pPr>
      <w:r/>
      <w:hyperlink r:id="rId105" w:tooltip="file:///D:\Source\Ses\Docs\Оглавление%20том%202%20%20О.М..docx#bookmark80" w:anchor="bookmark80" w:history="1">
        <w:bookmarkStart w:id="167" w:name="_Toc30081881"/>
        <w:bookmarkStart w:id="168" w:name="_Toc30085116"/>
        <w:bookmarkStart w:id="169" w:name="_Toc32845382"/>
        <w:bookmarkStart w:id="170" w:name="_Toc45625248"/>
        <w:bookmarkStart w:id="171" w:name="_Toc204085727"/>
        <w:r>
          <w:t xml:space="preserve">Часть 11. </w:t>
        </w:r>
      </w:hyperlink>
      <w:r/>
      <w:bookmarkEnd w:id="167"/>
      <w:r/>
      <w:bookmarkEnd w:id="168"/>
      <w:r/>
      <w:bookmarkEnd w:id="169"/>
      <w:r>
        <w:t xml:space="preserve">ОБОСНОВАНИЕ ОРГАНИЗАЦИИ ИНДИВИДУАЛЬНОГО ТЕПЛОСНАБЖЕНИЯ В ЗОНАХ ЗАСТРОЙКИ ПОСЕЛЕНИЯ, ГОРОДСКОГО ОКРУГА, ГОРОДА ФЕДЕРАЛЬНОГО ЗНАЧЕНИЯ МАЛОЭТАЖНЫМИ ЖИЛЫМИ ЗДАНИЯМИ</w:t>
      </w:r>
      <w:bookmarkEnd w:id="170"/>
      <w:r/>
      <w:bookmarkEnd w:id="171"/>
      <w:r/>
      <w:r/>
    </w:p>
    <w:p>
      <w:pPr>
        <w:ind w:firstLine="709"/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ind w:firstLine="709"/>
        <w:jc w:val="both"/>
        <w:widowControl w:val="off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Индиви</w:t>
      </w:r>
      <w:r>
        <w:rPr>
          <w:rFonts w:cs="Times New Roman"/>
          <w:szCs w:val="24"/>
        </w:rPr>
        <w:t xml:space="preserve">дуальное теплоснабжение на прогнозируемый период сохранится для индивидуальной застройки. Это обусловлено удалённостью зданий указанных типов от существующих сетей систем централизованного теплоснабжения и низкой плотностью тепловой нагрузки в этих зонах. </w:t>
      </w:r>
      <w:r>
        <w:rPr>
          <w:rFonts w:cs="Times New Roman"/>
          <w:szCs w:val="24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06" w:tooltip="file:///D:\Source\Ses\Docs\Оглавление%20том%202%20%20О.М..docx#bookmark81" w:anchor="bookmark81" w:history="1">
        <w:bookmarkStart w:id="172" w:name="_Toc45625249"/>
        <w:bookmarkStart w:id="173" w:name="_Toc204085728"/>
        <w:r>
          <w:t xml:space="preserve">Часть 12. </w:t>
        </w:r>
      </w:hyperlink>
      <w:r>
        <w:t xml:space="preserve">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ПОСЕЛЕНИЯ, ГОРОДСКОГО ОКРУГА, ГОРОДА ФЕДЕРАЛЬНОГО ЗНАЧЕНИЯ</w:t>
      </w:r>
      <w:bookmarkEnd w:id="172"/>
      <w:r/>
      <w:bookmarkEnd w:id="173"/>
      <w:r>
        <w:t xml:space="preserve"> </w:t>
      </w:r>
      <w:r/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Перспективные балансы производства и потребления тепловой мощности источников тепловой энергии рассмотрен в Главе 4 часть 1 текущего тома.</w:t>
      </w:r>
      <w:r>
        <w:rPr>
          <w:rFonts w:cs="Times New Roman"/>
        </w:rPr>
      </w:r>
    </w:p>
    <w:p>
      <w:pPr>
        <w:pStyle w:val="728"/>
        <w:jc w:val="both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07" w:tooltip="file:///D:\Source\Ses\Docs\Оглавление%20том%202%20%20О.М..docx#bookmark82" w:anchor="bookmark82" w:history="1">
        <w:bookmarkStart w:id="174" w:name="_Toc45625250"/>
        <w:bookmarkStart w:id="175" w:name="_Toc204085729"/>
        <w:r>
          <w:t xml:space="preserve">Часть 13. АНАЛИЗ </w:t>
        </w:r>
      </w:hyperlink>
      <w:r>
        <w:t xml:space="preserve">ЦЕЛЕСООБРАЗНОСТИ ВВОДА НОВЫХ И РЕКОНСТРУКЦИИ И (ИЛИ) МОДЕРНИЗАЦИИ СУЩЕСТВУЮЩИХ ИСТОЧНИКОВ ТЕПЛОВОЙ ЭНЕРГИИ С ИСПОЛЬЗОВАНИЕМ ВОЗОБНОВЛЯЕМЫХ ИСТОЧНИКОВ ЭНЕРГИИ, А ТАКЖЕ МЕСТНЫХ ВИДОВ ТОПЛИВА</w:t>
      </w:r>
      <w:bookmarkEnd w:id="174"/>
      <w:r/>
      <w:bookmarkEnd w:id="175"/>
      <w:r>
        <w:t xml:space="preserve"> </w:t>
      </w:r>
      <w:r/>
    </w:p>
    <w:p>
      <w:pPr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ind w:firstLine="709"/>
        <w:jc w:val="both"/>
        <w:rPr>
          <w:rFonts w:cs="Times New Roman"/>
          <w:szCs w:val="23"/>
        </w:rPr>
      </w:pPr>
      <w:r>
        <w:rPr>
          <w:rFonts w:cs="Times New Roman"/>
          <w:szCs w:val="23"/>
        </w:rPr>
        <w:t xml:space="preserve">Указанные мероприятия не планируются.</w:t>
      </w:r>
      <w:r>
        <w:rPr>
          <w:rFonts w:cs="Times New Roman"/>
          <w:szCs w:val="23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08" w:tooltip="file:///D:\Source\Ses\Docs\Оглавление%20том%202%20%20О.М..docx#bookmark83" w:anchor="bookmark83" w:history="1">
        <w:bookmarkStart w:id="176" w:name="_Toc45625251"/>
        <w:bookmarkStart w:id="177" w:name="_Toc204085730"/>
        <w:r>
          <w:t xml:space="preserve">Часть 14.</w:t>
        </w:r>
        <w:r>
          <w:t xml:space="preserve"> </w:t>
        </w:r>
      </w:hyperlink>
      <w:r>
        <w:t xml:space="preserve">ОБОСНОВАНИЕ ОРГАНИЗАЦИИ ТЕПЛОСНАБЖЕНИЯ В ПРОИЗВОДСТВЕННЫХ ЗОНАХ НА ТЕРРИТОРИИ ПОСЕЛЕНИЯ, ГОРОДСКОГО ОКРУГА, ГОРОДА ФЕДЕРАЛЬНОГО ЗНАЧЕНИЯ</w:t>
      </w:r>
      <w:bookmarkEnd w:id="176"/>
      <w:r/>
      <w:bookmarkEnd w:id="177"/>
      <w:r/>
      <w:r/>
    </w:p>
    <w:p>
      <w:pPr>
        <w:ind w:firstLine="709"/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ind w:firstLine="709"/>
        <w:jc w:val="both"/>
        <w:rPr>
          <w:rFonts w:cs="Times New Roman"/>
          <w:szCs w:val="23"/>
        </w:rPr>
      </w:pPr>
      <w:r>
        <w:rPr>
          <w:rFonts w:cs="Times New Roman"/>
          <w:szCs w:val="23"/>
        </w:rPr>
        <w:t xml:space="preserve">Организация теплоснабжения в производственных зонах на территории Печенгск</w:t>
      </w:r>
      <w:r>
        <w:rPr>
          <w:rFonts w:cs="Times New Roman"/>
          <w:szCs w:val="23"/>
        </w:rPr>
        <w:t xml:space="preserve">ого </w:t>
      </w:r>
      <w:r>
        <w:rPr>
          <w:rFonts w:cs="Times New Roman"/>
          <w:szCs w:val="23"/>
        </w:rPr>
        <w:t xml:space="preserve">муниципальн</w:t>
      </w:r>
      <w:r>
        <w:rPr>
          <w:rFonts w:cs="Times New Roman"/>
          <w:szCs w:val="23"/>
        </w:rPr>
        <w:t xml:space="preserve">ого </w:t>
      </w:r>
      <w:r>
        <w:rPr>
          <w:rFonts w:cs="Times New Roman"/>
          <w:szCs w:val="23"/>
        </w:rPr>
        <w:t xml:space="preserve">округ</w:t>
      </w:r>
      <w:r>
        <w:rPr>
          <w:rFonts w:cs="Times New Roman"/>
          <w:szCs w:val="23"/>
        </w:rPr>
        <w:t xml:space="preserve">а</w:t>
      </w:r>
      <w:r>
        <w:rPr>
          <w:rFonts w:cs="Times New Roman"/>
          <w:szCs w:val="23"/>
        </w:rPr>
        <w:t xml:space="preserve"> сохраняется в существующем виде.</w:t>
      </w:r>
      <w:r>
        <w:rPr>
          <w:rFonts w:cs="Times New Roman"/>
          <w:szCs w:val="23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178" w:name="_Toc30081885"/>
      <w:r/>
      <w:bookmarkStart w:id="179" w:name="_Toc30085120"/>
      <w:r/>
      <w:bookmarkStart w:id="180" w:name="_Toc32845386"/>
      <w:r/>
      <w:bookmarkStart w:id="181" w:name="_Toc204085731"/>
      <w:r>
        <w:t xml:space="preserve">Часть 15. РЕЗУЛЬТАТЫ РАСЧЕТОВ РАДИУСА ЭФФЕКТИВНОГО ТЕПЛОСНАБЖЕНИЯ</w:t>
      </w:r>
      <w:bookmarkEnd w:id="178"/>
      <w:r/>
      <w:bookmarkEnd w:id="179"/>
      <w:r/>
      <w:bookmarkEnd w:id="180"/>
      <w:r/>
      <w:bookmarkEnd w:id="181"/>
      <w:r/>
      <w:r/>
    </w:p>
    <w:p>
      <w:pPr>
        <w:pStyle w:val="822"/>
        <w:ind w:firstLine="709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  <w:r>
        <w:rPr>
          <w:color w:val="auto"/>
          <w:sz w:val="23"/>
          <w:szCs w:val="23"/>
        </w:rPr>
      </w:r>
    </w:p>
    <w:p>
      <w:pPr>
        <w:ind w:firstLine="709"/>
        <w:jc w:val="both"/>
        <w:spacing w:before="120"/>
        <w:rPr>
          <w:rFonts w:cs="Times New Roman"/>
          <w:szCs w:val="24"/>
        </w:rPr>
      </w:pPr>
      <w:r/>
      <w:bookmarkStart w:id="182" w:name="_Hlk204003383"/>
      <w:r>
        <w:rPr>
          <w:rFonts w:cs="Times New Roman"/>
          <w:szCs w:val="24"/>
        </w:rPr>
        <w:t xml:space="preserve">Расчёт радиусов эффективного теплоснабжения в Печенгском муниципальном округе приведён в таблице 7.15.1. 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Из таблицы видно, что на расчётный период максимальный фактический радиус каждой из систем теплоснабжения рассматриваемого муниципального образования не превысит радиус эффективного теплоснабжения.</w:t>
      </w:r>
      <w:bookmarkEnd w:id="182"/>
      <w:r>
        <w:rPr>
          <w:rFonts w:cs="Times New Roman"/>
          <w:szCs w:val="24"/>
        </w:rPr>
      </w:r>
    </w:p>
    <w:p>
      <w:pPr>
        <w:pStyle w:val="822"/>
        <w:ind w:firstLine="709"/>
        <w:jc w:val="center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  <w:r>
        <w:rPr>
          <w:color w:val="auto"/>
          <w:sz w:val="23"/>
          <w:szCs w:val="23"/>
        </w:rPr>
      </w:r>
    </w:p>
    <w:p>
      <w:pPr>
        <w:pStyle w:val="822"/>
        <w:ind w:firstLine="709"/>
        <w:jc w:val="center"/>
        <w:rPr>
          <w:color w:val="auto"/>
          <w:sz w:val="23"/>
          <w:szCs w:val="23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color w:val="auto"/>
          <w:sz w:val="23"/>
          <w:szCs w:val="23"/>
        </w:rPr>
      </w:r>
      <w:r>
        <w:rPr>
          <w:color w:val="auto"/>
          <w:sz w:val="23"/>
          <w:szCs w:val="23"/>
        </w:rPr>
      </w:r>
    </w:p>
    <w:p>
      <w:pPr>
        <w:spacing w:after="200"/>
        <w:rPr>
          <w:rFonts w:cs="Times New Roman"/>
        </w:rPr>
      </w:pPr>
      <w:r>
        <w:rPr>
          <w:rFonts w:cs="Times New Roman"/>
          <w:b/>
        </w:rPr>
        <w:t xml:space="preserve">Таблица 7.1</w:t>
      </w:r>
      <w:r>
        <w:rPr>
          <w:rFonts w:cs="Times New Roman"/>
          <w:b/>
        </w:rPr>
        <w:t xml:space="preserve">5</w:t>
      </w:r>
      <w:r>
        <w:rPr>
          <w:rFonts w:cs="Times New Roman"/>
          <w:b/>
        </w:rPr>
        <w:t xml:space="preserve">.1 - Результаты расчета эффективного радиуса теплоснабжения</w:t>
      </w:r>
      <w:r>
        <w:rPr>
          <w:rFonts w:cs="Times New Roman"/>
        </w:rPr>
      </w:r>
    </w:p>
    <w:tbl>
      <w:tblPr>
        <w:tblW w:w="15312" w:type="dxa"/>
        <w:tblInd w:w="-10" w:type="dxa"/>
        <w:tblLook w:val="04A0" w:firstRow="1" w:lastRow="0" w:firstColumn="1" w:lastColumn="0" w:noHBand="0" w:noVBand="1"/>
      </w:tblPr>
      <w:tblGrid>
        <w:gridCol w:w="2552"/>
        <w:gridCol w:w="960"/>
        <w:gridCol w:w="1180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0"/>
      </w:tblGrid>
      <w:tr>
        <w:tblPrEx/>
        <w:trPr>
          <w:trHeight w:val="735"/>
          <w:tblHeader/>
        </w:trPr>
        <w:tc>
          <w:tcPr>
            <w:shd w:val="clear" w:color="000000" w:fill="f2f2f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/>
            <w:bookmarkStart w:id="183" w:name="RANGE!A1"/>
            <w:r/>
            <w:bookmarkStart w:id="184" w:name="_Hlk204003425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теплоисточника, показателя, теплоснабжающей организации</w:t>
            </w:r>
            <w:bookmarkEnd w:id="183"/>
            <w:r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Ед.изм.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2034-2038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2039-2043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gridSpan w:val="14"/>
            <w:shd w:val="clear" w:color="000000" w:fill="ddebf7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5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АО "МЭС"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325,6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123,6829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123,8989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123,848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8934,77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72,14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4,693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ЭЦ-2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456,6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6,855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51,575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51,705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7359,11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131,14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131,14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131,14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131,14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131,14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131,14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131,14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131,14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131,14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131,14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131,14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5,347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37"/>
        </w:trPr>
        <w:tc>
          <w:tcPr>
            <w:gridSpan w:val="14"/>
            <w:shd w:val="clear" w:color="000000" w:fill="ddebf7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5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ПАО «ТГК-1», тепловые сети ГО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УП «Сети Никеля»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3,55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0,3844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191,51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498,18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2666,00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gridSpan w:val="14"/>
            <w:shd w:val="clear" w:color="000000" w:fill="ddebf7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5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ООО "ПромВоенСтрой"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1,9552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129,6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66,28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7,34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7,34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7,34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7,34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7,34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7,34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7,34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7,34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7,34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2,1844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127,04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5,155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794,63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2,885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№4/152 (ООО "ПромВоенСтрой")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1,345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2,3448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394,68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3,265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5,82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1,6927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187,42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3,289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1,3636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3,179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353,78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№15/176 н.п. Луостари (в.г. №15)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1,1801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250,16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№5/106 н.п. Луостари (в.г. №5)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1,53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190,86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124,75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2,968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gridSpan w:val="14"/>
            <w:shd w:val="clear" w:color="000000" w:fill="ddebf7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5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ООО «Теплонорд»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2,58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0,7493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68,19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91,00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3,194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0,1195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96,7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809,21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3,695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№4/115 ж/д ст. Печенга (19 км) (в.г. №4)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0,314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0,1035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98,39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950,63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0,118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№4/179 ж/д ст. Печенга (19 км) (в.г. №4)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0,0622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0,2609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42,87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164,32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3,174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gridSpan w:val="14"/>
            <w:shd w:val="clear" w:color="000000" w:fill="ddebf7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5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ФГБУ «ЦЖКУ» МО РФ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169,7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678,84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№25/52 пгт. Печенга (в.г. №25)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№18/65 пгт. Печенга (в.г. №18)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9,07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1,107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83,71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0,103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3,778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№13/66 пгт. Печенга (в.г. №13)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17,24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107,75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0,800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№69/6 н.п. Вайда-Губа (в.г. №69)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112,32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327,46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3,349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№38/86 пгт. Печенга (в.г. №38)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№21/90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1,62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4,211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№21/110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1,129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1,84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216,2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0,291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3,233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№21/149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40,50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0,287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32,7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0,590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2,295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№12/151 н.п. Спутник (в.г. №12)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н/д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0,012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№25/46 пгт. Печенга (в.г. №25)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2,78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0,479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95,77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638,47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3,993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0,229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4,477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1,2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Максимальный фактический радиус теплоснабжения в системе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0,666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0,067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Материальная характеристика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кв.м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45,51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Удельная материальная характеристика тепловой сети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/Гкал/ч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679,25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Теплоплотность зоны действия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Гкал/ч/га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0,056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Радиус эффективного теплоснабжения источника тепла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км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4,077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Котельная №42/188 пгт. Печенга (в.г. №42)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зоны действия источника теплоснабжения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Суммарная тепловая нагрузка в зоне действия источника тепловой энергии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Гкал/ч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1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0,043</w:t>
            </w:r>
            <w:bookmarkEnd w:id="184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</w:tbl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  <w:sectPr>
          <w:footnotePr/>
          <w:endnotePr/>
          <w:type w:val="nextPage"/>
          <w:pgSz w:w="16838" w:h="11906" w:orient="landscape"/>
          <w:pgMar w:top="1276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185" w:name="_Toc53927693"/>
      <w:r/>
      <w:bookmarkStart w:id="186" w:name="_Toc204085732"/>
      <w:r>
        <w:t xml:space="preserve">Часть 16. ПОКРЫТИЕ ПЕРСПЕКТИВНОЙ ТЕПЛОВОЙ НАГРУЗКИ, НЕ ОБЕСПЕЧЕННОЙ ТЕПЛОВОЙ МОЩНОСТЬЮ</w:t>
      </w:r>
      <w:bookmarkEnd w:id="185"/>
      <w:r/>
      <w:bookmarkEnd w:id="186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ind w:firstLine="709"/>
        <w:rPr>
          <w:rFonts w:cs="Times New Roman"/>
        </w:rPr>
      </w:pPr>
      <w:r>
        <w:rPr>
          <w:rFonts w:cs="Times New Roman"/>
        </w:rPr>
        <w:t xml:space="preserve">Данные объекты отсутствуют</w:t>
      </w:r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187" w:name="_Toc53927694"/>
      <w:r/>
      <w:bookmarkStart w:id="188" w:name="_Toc204085733"/>
      <w:r>
        <w:t xml:space="preserve">Часть 17. МАКСИМАЛЬНАЯ ВЫРАБОТКА ЭЛЕКТРИЧЕСКОЙ ЭНЕРГИИ НА БАЗЕ ПРИРОСТА ТЕПЛОВОГО ПОТРЕБЛЕНИЯ НА КОЛЛЕКТОРАХ СУЩЕСТВУЮЩИХ ИСТОЧНИКОВ ТЕПЛОВОЙ ЭНЕРГИИ, ФУНКЦИОНИРУЮЩИХ В РЕЖИМЕ КОМБИНИРОВАННОЙ ВЫРАБОТКИ ЭЛЕКТРИЧЕСКОЙ И ТЕПЛОВОЙ ЭНЕРГИИ</w:t>
      </w:r>
      <w:bookmarkEnd w:id="187"/>
      <w:r/>
      <w:bookmarkEnd w:id="188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ind w:firstLine="709"/>
        <w:rPr>
          <w:rFonts w:cs="Times New Roman"/>
        </w:rPr>
      </w:pPr>
      <w:r>
        <w:rPr>
          <w:rFonts w:cs="Times New Roman"/>
        </w:rPr>
        <w:t xml:space="preserve">Данные объекты отсутствуют</w:t>
      </w:r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189" w:name="_Toc53927695"/>
      <w:r/>
      <w:bookmarkStart w:id="190" w:name="_Toc204085734"/>
      <w:r>
        <w:t xml:space="preserve">Часть 18. ОПРЕДЕЛЕНИЕ ПЕРСПЕКТИВНЫХ РЕЖИМОВ ЗАГРУЗКИ ИСТОЧНИКОВ ТЕПЛОВОЙ ЭНЕРГИИ ПО ПРИСОЕДИНЕННОЙ ТЕПЛОВОЙ НАГРУЗКЕ</w:t>
      </w:r>
      <w:bookmarkEnd w:id="189"/>
      <w:r/>
      <w:bookmarkEnd w:id="190"/>
      <w:r/>
      <w:r/>
    </w:p>
    <w:p>
      <w:pPr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</w:r>
      <w:r>
        <w:rPr>
          <w:rFonts w:eastAsia="Times New Roman" w:cs="Times New Roman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Перспективные режимы загрузки источников тепловой энергии по присоединенной тепловой нагрузке рассмотрены в главе 4 часть 1, текущего тома</w:t>
      </w:r>
      <w:r>
        <w:rPr>
          <w:rFonts w:cs="Times New Roman"/>
          <w:szCs w:val="24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191" w:name="_Toc53927696"/>
      <w:r/>
      <w:bookmarkStart w:id="192" w:name="_Toc204085735"/>
      <w:r>
        <w:t xml:space="preserve">Часть 19. ОПРЕДЕЛЕНИЕ ПОТРЕБНОСТИ В ТОПЛИВЕ И РЕКОМЕНДАЦИИ ПО ВИДАМ ИСПОЛЬЗУЕМОГО ТОПЛИВА</w:t>
      </w:r>
      <w:bookmarkEnd w:id="191"/>
      <w:r/>
      <w:bookmarkEnd w:id="192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ind w:firstLine="709"/>
        <w:rPr>
          <w:rFonts w:eastAsia="Calibri" w:cs="Times New Roman"/>
        </w:rPr>
      </w:pPr>
      <w:r>
        <w:rPr>
          <w:rFonts w:eastAsia="Calibri" w:cs="Times New Roman"/>
        </w:rPr>
        <w:t xml:space="preserve">Уровень и объем потребления топлива не измениться с учетом перспективы. Виды потребляемого топлива останутся неизменными.</w:t>
      </w:r>
      <w:r>
        <w:rPr>
          <w:rFonts w:eastAsia="Calibri" w:cs="Times New Roman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193" w:name="_Toc45030146"/>
      <w:r/>
      <w:bookmarkStart w:id="194" w:name="_Toc53927677"/>
      <w:r/>
      <w:bookmarkStart w:id="195" w:name="_Toc204085736"/>
      <w:r>
        <w:t xml:space="preserve">Часть 20. ОПИСАНИЕ ИЗМЕНЕНИЙ В ПРЕДЛОЖЕНИЯХ ПО СТРОИТЕЛЬСТВУ, РЕКОНСТРУКЦИИ, ТЕХНИЧЕСКОМУ ПЕРЕВООРУЖЕНИЮ И (ИЛИ) МОДЕР</w:t>
      </w:r>
      <w:r>
        <w:t xml:space="preserve">НИЗАЦИИ ИСТОЧНИКОВ ТЕПЛОВОЙ ЭНЕРГИИ ЗА ПЕРИОД, ПРЕДШЕСТВУЮЩИЙ АКТУАЛИЗАЦИИ СХЕМЫ ТЕПЛОСНАБЖЕНИЯ, В ТОМ ЧИСЛЕ С УЧЕТОМ ВВЕДЕННЫХ В ЭКСПЛУАТАЦИЮ НОВЫХ, РЕКОНСТРУИРОВАННЫХ И ПРОШЕДШИХ ТЕХНИЧЕСКОЕ ПЕРЕВООРУЖЕНИЕ И (ИЛИ) МОДЕРНИЗАЦИЮ ИСТОЧНИКОВ ТЕПЛОВОЙ ЭНЕРГИИ</w:t>
      </w:r>
      <w:bookmarkEnd w:id="193"/>
      <w:r/>
      <w:bookmarkEnd w:id="194"/>
      <w:r/>
      <w:bookmarkEnd w:id="195"/>
      <w:r/>
      <w:r/>
    </w:p>
    <w:p>
      <w:pPr>
        <w:pStyle w:val="946"/>
        <w:ind w:right="110"/>
        <w:jc w:val="both"/>
        <w:spacing w:before="67"/>
        <w:rPr>
          <w:spacing w:val="-1"/>
        </w:rPr>
      </w:pPr>
      <w:r>
        <w:rPr>
          <w:spacing w:val="-1"/>
        </w:rPr>
      </w:r>
      <w:r>
        <w:rPr>
          <w:spacing w:val="-1"/>
        </w:rPr>
      </w:r>
    </w:p>
    <w:p>
      <w:pPr>
        <w:pStyle w:val="946"/>
        <w:ind w:left="218" w:right="229" w:firstLine="566"/>
        <w:jc w:val="both"/>
        <w:rPr>
          <w:spacing w:val="-1"/>
        </w:rPr>
      </w:pPr>
      <w:r>
        <w:rPr>
          <w:spacing w:val="-1"/>
        </w:rPr>
        <w:t xml:space="preserve">Откорректированы значения, согласно предоставленных данных.</w:t>
      </w:r>
      <w:r>
        <w:rPr>
          <w:spacing w:val="-1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  <w:rPr>
          <w:sz w:val="28"/>
          <w:szCs w:val="28"/>
        </w:rPr>
      </w:pPr>
      <w:r/>
      <w:hyperlink r:id="rId109" w:tooltip="file:///D:\Source\Ses\Docs\Оглавление%20том%202%20%20О.М..docx#bookmark85" w:anchor="bookmark85" w:history="1">
        <w:bookmarkStart w:id="196" w:name="_Toc45625253"/>
        <w:bookmarkStart w:id="197" w:name="_Toc204085737"/>
        <w:r>
          <w:rPr>
            <w:sz w:val="28"/>
            <w:szCs w:val="28"/>
          </w:rPr>
          <w:t xml:space="preserve">ГЛАВА 8.</w:t>
        </w:r>
        <w:r>
          <w:rPr>
            <w:sz w:val="28"/>
            <w:szCs w:val="28"/>
          </w:rPr>
          <w:t xml:space="preserve"> </w:t>
        </w:r>
      </w:hyperlink>
      <w:r>
        <w:rPr>
          <w:sz w:val="28"/>
        </w:rPr>
        <w:t xml:space="preserve">ПРЕДЛОЖЕНИЯ ПО СТРОИТЕЛЬСТВУ, РЕКОНСТРУКЦИИ И (ИЛИ) МОДЕРНИЗАЦИИ ТЕПЛОВЫХ СЕТЕЙ</w:t>
      </w:r>
      <w:bookmarkEnd w:id="196"/>
      <w:r/>
      <w:bookmarkEnd w:id="197"/>
      <w:r/>
      <w:r>
        <w:rPr>
          <w:sz w:val="28"/>
          <w:szCs w:val="28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10" w:tooltip="file:///D:\Source\Ses\Docs\Оглавление%20том%202%20%20О.М..docx#bookmark86" w:anchor="bookmark86" w:history="1">
        <w:bookmarkStart w:id="198" w:name="_Toc30081887"/>
        <w:bookmarkStart w:id="199" w:name="_Toc30085122"/>
        <w:bookmarkStart w:id="200" w:name="_Toc32845388"/>
        <w:bookmarkStart w:id="201" w:name="_Toc45625254"/>
        <w:bookmarkStart w:id="202" w:name="_Toc204085738"/>
        <w:r>
          <w:t xml:space="preserve">Часть 1. </w:t>
        </w:r>
      </w:hyperlink>
      <w:r/>
      <w:bookmarkEnd w:id="198"/>
      <w:r/>
      <w:bookmarkEnd w:id="199"/>
      <w:r/>
      <w:bookmarkEnd w:id="200"/>
      <w:r>
        <w:t xml:space="preserve"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  <w:bookmarkEnd w:id="201"/>
      <w:r/>
      <w:bookmarkEnd w:id="202"/>
      <w:r/>
      <w:r/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Строительство и/или реконструкция</w:t>
      </w:r>
      <w:r>
        <w:rPr>
          <w:rFonts w:cs="Times New Roman"/>
          <w:szCs w:val="24"/>
        </w:rPr>
        <w:t xml:space="preserve"> тепловых сетей с целью обеспечения перераспределения перспективной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не требуется.</w:t>
      </w:r>
      <w:r>
        <w:rPr>
          <w:rFonts w:cs="Times New Roman"/>
          <w:szCs w:val="24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111" w:tooltip="file:///D:\Source\Ses\Docs\Оглавление%20том%202%20%20О.М..docx#bookmark87" w:anchor="bookmark87" w:history="1">
        <w:bookmarkStart w:id="203" w:name="_Toc30081888"/>
        <w:bookmarkStart w:id="204" w:name="_Toc30085123"/>
        <w:bookmarkStart w:id="205" w:name="_Toc32845389"/>
        <w:bookmarkStart w:id="206" w:name="_Toc45625255"/>
        <w:bookmarkStart w:id="207" w:name="_Toc204085739"/>
        <w:r>
          <w:t xml:space="preserve">Часть 2. </w:t>
        </w:r>
      </w:hyperlink>
      <w:r/>
      <w:bookmarkEnd w:id="203"/>
      <w:r/>
      <w:bookmarkEnd w:id="204"/>
      <w:r/>
      <w:bookmarkEnd w:id="205"/>
      <w:r>
        <w:t xml:space="preserve"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ОКРУГА, ГОРОДА ФЕДЕРАЛЬНОГО ЗНАЧЕНИЯ</w:t>
      </w:r>
      <w:bookmarkEnd w:id="206"/>
      <w:r/>
      <w:bookmarkEnd w:id="207"/>
      <w:r/>
      <w:r/>
    </w:p>
    <w:p>
      <w:pPr>
        <w:jc w:val="both"/>
        <w:tabs>
          <w:tab w:val="left" w:pos="1276" w:leader="none"/>
        </w:tabs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</w:r>
      <w:r>
        <w:rPr>
          <w:rFonts w:cs="Times New Roman"/>
          <w:sz w:val="23"/>
          <w:szCs w:val="23"/>
        </w:rPr>
      </w:r>
    </w:p>
    <w:p>
      <w:pPr>
        <w:pStyle w:val="728"/>
        <w:ind w:firstLine="709"/>
        <w:jc w:val="both"/>
        <w:rPr>
          <w:rFonts w:cs="Times New Roman"/>
        </w:rPr>
      </w:pPr>
      <w:r/>
      <w:bookmarkStart w:id="208" w:name="_Hlk204007625"/>
      <w:r>
        <w:rPr>
          <w:rFonts w:cs="Times New Roman"/>
          <w:szCs w:val="24"/>
        </w:rPr>
        <w:t xml:space="preserve">Новые потребители подключаются к ближайшим камерам существующих тепловых сетей.</w:t>
      </w:r>
      <w:bookmarkEnd w:id="208"/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209" w:name="_Toc204085740"/>
      <w:r>
        <w:t xml:space="preserve">Часть 3. 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209"/>
      <w:r/>
      <w:r/>
    </w:p>
    <w:p>
      <w:pPr>
        <w:pStyle w:val="946"/>
        <w:ind w:right="119" w:hanging="116"/>
        <w:spacing w:line="289" w:lineRule="auto"/>
        <w:rPr>
          <w:spacing w:val="-2"/>
        </w:rPr>
      </w:pPr>
      <w:r>
        <w:rPr>
          <w:spacing w:val="-2"/>
        </w:rPr>
      </w:r>
      <w:r>
        <w:rPr>
          <w:spacing w:val="-2"/>
        </w:rPr>
      </w:r>
    </w:p>
    <w:p>
      <w:pPr>
        <w:pStyle w:val="728"/>
        <w:ind w:firstLine="709"/>
        <w:jc w:val="both"/>
        <w:rPr>
          <w:rFonts w:cs="Times New Roman"/>
          <w:lang w:eastAsia="ru-RU"/>
        </w:rPr>
      </w:pPr>
      <w:r/>
      <w:bookmarkStart w:id="210" w:name="_Hlk204007652"/>
      <w:r>
        <w:rPr>
          <w:rFonts w:cs="Times New Roman"/>
        </w:rPr>
        <w:t xml:space="preserve">Строительство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  <w:bookmarkEnd w:id="210"/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211" w:name="_Toc45625257"/>
      <w:r/>
      <w:bookmarkStart w:id="212" w:name="_Toc204085741"/>
      <w:r>
        <w:t xml:space="preserve"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bookmarkEnd w:id="211"/>
      <w:r/>
      <w:bookmarkEnd w:id="212"/>
      <w:r/>
      <w:r/>
    </w:p>
    <w:p>
      <w:pPr>
        <w:pStyle w:val="946"/>
        <w:ind w:left="0" w:right="119" w:firstLine="709"/>
        <w:spacing w:line="289" w:lineRule="auto"/>
      </w:pPr>
      <w:r/>
      <w:r/>
    </w:p>
    <w:p>
      <w:pPr>
        <w:pStyle w:val="728"/>
        <w:ind w:firstLine="709"/>
        <w:jc w:val="both"/>
        <w:rPr>
          <w:rFonts w:cs="Times New Roman"/>
          <w:lang w:eastAsia="ru-RU"/>
        </w:rPr>
      </w:pPr>
      <w:r>
        <w:rPr>
          <w:rFonts w:cs="Times New Roman"/>
          <w:szCs w:val="24"/>
        </w:rPr>
        <w:t xml:space="preserve">Строительство или реконструкция тепловых сетей для повышения эффективности функционирования системы теплоснабжения, в том числе за счёт перевода котельных в пиковый режим работы или ликвидации котельных не планируется.</w:t>
      </w:r>
      <w:r>
        <w:rPr>
          <w:rFonts w:cs="Times New Roman"/>
          <w:lang w:eastAsia="ru-RU"/>
        </w:rPr>
      </w:r>
    </w:p>
    <w:p>
      <w:pPr>
        <w:jc w:val="both"/>
        <w:rPr>
          <w:rFonts w:cs="Times New Roman"/>
          <w:lang w:eastAsia="ru-RU"/>
        </w:rPr>
      </w:pPr>
      <w:r/>
      <w:bookmarkStart w:id="213" w:name="_Toc32845393"/>
      <w:r/>
      <w:bookmarkStart w:id="214" w:name="_Toc30085127"/>
      <w:r/>
      <w:bookmarkStart w:id="215" w:name="_Toc30081892"/>
      <w:r/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112" w:tooltip="file:///D:\Source\Ses\Docs\Оглавление%20том%202%20%20О.М..docx#bookmark90" w:anchor="bookmark90" w:history="1">
        <w:bookmarkStart w:id="216" w:name="_Toc30081891"/>
        <w:bookmarkStart w:id="217" w:name="_Toc30085126"/>
        <w:bookmarkStart w:id="218" w:name="_Toc32845392"/>
        <w:bookmarkStart w:id="219" w:name="_Toc45625258"/>
        <w:bookmarkStart w:id="220" w:name="_Toc204085742"/>
        <w:r>
          <w:t xml:space="preserve">Часть 5. </w:t>
        </w:r>
      </w:hyperlink>
      <w:r/>
      <w:bookmarkEnd w:id="216"/>
      <w:r/>
      <w:bookmarkEnd w:id="217"/>
      <w:r/>
      <w:bookmarkEnd w:id="218"/>
      <w:r>
        <w:t xml:space="preserve">ПРЕДЛОЖЕНИЯ ПО СТРОИТЕЛЬСТВУ ТЕПЛОВЫХ СЕТЕЙ ДЛЯ ОБЕСПЕЧЕНИЯ НОРМАТИВНОЙ НАДЕЖНОСТИ ТЕПЛОСНАБЖЕНИЯ</w:t>
      </w:r>
      <w:bookmarkEnd w:id="219"/>
      <w:r/>
      <w:bookmarkEnd w:id="220"/>
      <w:r/>
      <w:r/>
    </w:p>
    <w:p>
      <w:pPr>
        <w:rPr>
          <w:rFonts w:cs="Times New Roman"/>
        </w:rPr>
      </w:pPr>
      <w:r>
        <w:rPr>
          <w:rFonts w:cs="Times New Roman"/>
        </w:rPr>
      </w:r>
      <w:bookmarkEnd w:id="213"/>
      <w:bookmarkEnd w:id="214"/>
      <w:bookmarkEnd w:id="215"/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  <w:szCs w:val="24"/>
        </w:rPr>
        <w:t xml:space="preserve">Строительство тепловых сетей</w:t>
      </w:r>
      <w:r>
        <w:rPr>
          <w:rFonts w:cs="Times New Roman"/>
          <w:szCs w:val="24"/>
        </w:rPr>
        <w:t xml:space="preserve"> для обеспечения нормативной надёжности теплоснабжения не планируется. Необходимые показатели надёжности достигаются за счёт реконструкции существующих участков трубопроводов. Перечень мероприятий приведён в части 2 главы 16 настоящей Схемы теплоснабжения.</w:t>
      </w:r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13" w:tooltip="file:///D:\Source\Ses\Docs\Оглавление%20том%202%20%20О.М..docx#bookmark97" w:anchor="bookmark97" w:history="1">
        <w:bookmarkStart w:id="221" w:name="_Toc30081898"/>
        <w:bookmarkStart w:id="222" w:name="_Toc30085133"/>
        <w:bookmarkStart w:id="223" w:name="_Toc32845399"/>
        <w:bookmarkStart w:id="224" w:name="_Toc45625259"/>
        <w:bookmarkStart w:id="225" w:name="_Toc204085743"/>
        <w:r>
          <w:t xml:space="preserve">Часть 6. </w:t>
        </w:r>
      </w:hyperlink>
      <w:r/>
      <w:bookmarkEnd w:id="221"/>
      <w:r/>
      <w:bookmarkEnd w:id="222"/>
      <w:r/>
      <w:bookmarkEnd w:id="223"/>
      <w:r>
        <w:t xml:space="preserve"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</w:r>
      <w:bookmarkEnd w:id="224"/>
      <w:r/>
      <w:bookmarkEnd w:id="225"/>
      <w:r/>
      <w:r/>
    </w:p>
    <w:p>
      <w:pPr>
        <w:pStyle w:val="946"/>
        <w:ind w:left="0" w:right="119" w:firstLine="709"/>
        <w:spacing w:line="289" w:lineRule="auto"/>
      </w:pPr>
      <w:r/>
      <w:r/>
    </w:p>
    <w:p>
      <w:pPr>
        <w:pStyle w:val="728"/>
        <w:ind w:firstLine="709"/>
        <w:jc w:val="both"/>
        <w:rPr>
          <w:rFonts w:cs="Times New Roman"/>
          <w:lang w:eastAsia="ru-RU"/>
        </w:rPr>
      </w:pPr>
      <w:r>
        <w:rPr>
          <w:rFonts w:cs="Times New Roman"/>
        </w:rPr>
        <w:t xml:space="preserve">Реконструкция тепловых сетей с увеличением диаметра трубопроводов для обеспечения перспективных приростов тепловой нагрузки </w:t>
      </w:r>
      <w:r>
        <w:rPr>
          <w:rFonts w:cs="Times New Roman"/>
        </w:rPr>
        <w:t xml:space="preserve">не требуется</w:t>
      </w:r>
      <w:r>
        <w:rPr>
          <w:rFonts w:cs="Times New Roman"/>
        </w:rPr>
        <w:t xml:space="preserve">.</w:t>
      </w:r>
      <w:r>
        <w:rPr>
          <w:rFonts w:cs="Times New Roman"/>
          <w:lang w:eastAsia="ru-RU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14" w:tooltip="file:///D:\Source\Ses\Docs\Оглавление%20том%202%20%20О.М..docx#bookmark98" w:anchor="bookmark98" w:history="1">
        <w:bookmarkStart w:id="226" w:name="_Toc30081899"/>
        <w:bookmarkStart w:id="227" w:name="_Toc30085134"/>
        <w:bookmarkStart w:id="228" w:name="_Toc32845400"/>
        <w:bookmarkStart w:id="229" w:name="_Toc45625260"/>
        <w:bookmarkStart w:id="230" w:name="_Toc204085744"/>
        <w:r>
          <w:t xml:space="preserve">Часть 7. </w:t>
        </w:r>
      </w:hyperlink>
      <w:r/>
      <w:bookmarkEnd w:id="226"/>
      <w:r/>
      <w:bookmarkEnd w:id="227"/>
      <w:r/>
      <w:bookmarkEnd w:id="228"/>
      <w:r>
        <w:t xml:space="preserve">ПРЕДЛОЖЕНИЯ ПО РЕКОНСТРУКЦИИ И (ИЛИ) МОДЕРНИЗАЦИИ ТЕПЛОВЫХ СЕТЕЙ, ПОДЛЕЖАЩИХ ЗАМЕНЕ В СВЯЗИ С ИСЧЕРПАНИЕМ ЭКСПЛУАТАЦИОННОГО РЕСУРСА</w:t>
      </w:r>
      <w:bookmarkEnd w:id="229"/>
      <w:r/>
      <w:bookmarkEnd w:id="230"/>
      <w:r/>
      <w:r/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firstLine="709"/>
        <w:jc w:val="both"/>
        <w:widowControl w:val="off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 xml:space="preserve">В целях обеспечения нормативной надёжности теплоснабжения требуется з</w:t>
      </w:r>
      <w:r>
        <w:rPr>
          <w:rFonts w:eastAsia="Times New Roman" w:cs="Times New Roman"/>
          <w:szCs w:val="24"/>
        </w:rPr>
        <w:t xml:space="preserve">амена/реконструкция изношенных участков сетей.</w:t>
      </w:r>
      <w:r>
        <w:rPr>
          <w:rFonts w:eastAsia="Times New Roman" w:cs="Times New Roman"/>
          <w:szCs w:val="24"/>
        </w:rPr>
      </w:r>
    </w:p>
    <w:p>
      <w:pPr>
        <w:ind w:firstLine="709"/>
        <w:jc w:val="both"/>
        <w:spacing w:after="1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Перечень тепловых сетей, планируемых к реконструкции в период 2025 – 2043 годы приведён в части 2 главы 16 настоящей Схемы теплоснабжения.</w:t>
      </w:r>
      <w:r>
        <w:rPr>
          <w:rFonts w:cs="Times New Roman"/>
          <w:szCs w:val="24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  <w:jc w:val="both"/>
      </w:pPr>
      <w:r/>
      <w:hyperlink r:id="rId115" w:tooltip="file:///D:\Source\Ses\Docs\Оглавление%20том%202%20%20О.М..docx#bookmark99" w:anchor="bookmark99" w:history="1">
        <w:bookmarkStart w:id="231" w:name="_Toc32845401"/>
        <w:bookmarkStart w:id="232" w:name="_Toc30085135"/>
        <w:bookmarkStart w:id="233" w:name="_Toc30081900"/>
        <w:bookmarkStart w:id="234" w:name="_Toc45625261"/>
        <w:bookmarkStart w:id="235" w:name="_Toc204085745"/>
        <w:r>
          <w:t xml:space="preserve">Часть 8. </w:t>
        </w:r>
        <w:bookmarkEnd w:id="231"/>
        <w:bookmarkEnd w:id="232"/>
        <w:bookmarkEnd w:id="233"/>
      </w:hyperlink>
      <w:r>
        <w:t xml:space="preserve">ПРЕДЛОЖЕНИЯ ПО СТРОИТЕЛЬСТВУ, РЕКОНСТРУКЦИИ И (ИЛИ) МОДЕРНИЗАЦИИ НАСОСНЫХ СТАНЦИЙ</w:t>
      </w:r>
      <w:bookmarkEnd w:id="234"/>
      <w:r/>
      <w:bookmarkEnd w:id="235"/>
      <w:r/>
      <w:r/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ind w:firstLine="567"/>
        <w:jc w:val="both"/>
        <w:rPr>
          <w:rFonts w:cs="Times New Roman"/>
        </w:rPr>
      </w:pPr>
      <w:r/>
      <w:bookmarkStart w:id="236" w:name="_Toc45117236"/>
      <w:r/>
      <w:bookmarkStart w:id="237" w:name="_Toc53927698"/>
      <w:r>
        <w:rPr>
          <w:rFonts w:cs="Times New Roman"/>
        </w:rPr>
        <w:t xml:space="preserve">Строительство и реконструкции насосных станции не требуется.</w:t>
      </w:r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238" w:name="_Toc204085746"/>
      <w:r>
        <w:t xml:space="preserve">Часть 9.</w:t>
      </w:r>
      <w:r>
        <w:rPr>
          <w:color w:val="ff0000"/>
        </w:rPr>
        <w:t xml:space="preserve"> </w:t>
      </w:r>
      <w:r>
        <w:t xml:space="preserve">ОПИСАНИЕ ИЗМЕНЕ</w:t>
      </w:r>
      <w:r>
        <w:t xml:space="preserve">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СЕТЕЙ, И СООРУЖЕНИЙ НА НИХ</w:t>
      </w:r>
      <w:bookmarkEnd w:id="236"/>
      <w:r/>
      <w:bookmarkEnd w:id="237"/>
      <w:r/>
      <w:bookmarkEnd w:id="238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946"/>
        <w:ind w:left="218" w:right="229" w:firstLine="566"/>
        <w:jc w:val="both"/>
        <w:rPr>
          <w:spacing w:val="-1"/>
        </w:rPr>
      </w:pPr>
      <w:r>
        <w:t xml:space="preserve">Обновлены мероприятия.</w:t>
      </w:r>
      <w:r>
        <w:rPr>
          <w:spacing w:val="-1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  <w:rPr>
          <w:sz w:val="28"/>
          <w:szCs w:val="28"/>
        </w:rPr>
      </w:pPr>
      <w:r/>
      <w:bookmarkStart w:id="239" w:name="_Toc204085747"/>
      <w:r>
        <w:rPr>
          <w:sz w:val="28"/>
          <w:szCs w:val="28"/>
        </w:rPr>
        <w:t xml:space="preserve">ГЛАВА 9. ПРЕДЛОЖЕНИЯ ПО ПЕРЕВОДУ ОТКРЫТЫХ СИСТЕМ ТЕПЛОСНАБЖЕНИЯ (ГОРЯЧГО ВОДОСНАБЖЕНИЯ), ОТДЕЛЬНЫХ УЧАСТКОВ ТАКИХ СИСТЕМ В ЗАКРЫТЫЕ СИСТЕМЫ ГОРЯЧЕГО ВОДОСНАБЖЕНИЯ</w:t>
      </w:r>
      <w:bookmarkEnd w:id="239"/>
      <w:r/>
      <w:r>
        <w:rPr>
          <w:sz w:val="28"/>
          <w:szCs w:val="28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240" w:name="_Toc30081902"/>
      <w:r/>
      <w:bookmarkStart w:id="241" w:name="_Toc30085137"/>
      <w:r/>
      <w:bookmarkStart w:id="242" w:name="_Toc32845403"/>
      <w:r/>
      <w:bookmarkStart w:id="243" w:name="_Toc204085748"/>
      <w:r>
        <w:t xml:space="preserve">Часть 1. </w:t>
      </w:r>
      <w:bookmarkEnd w:id="240"/>
      <w:r/>
      <w:bookmarkEnd w:id="241"/>
      <w:r/>
      <w:bookmarkEnd w:id="242"/>
      <w:r>
        <w:t xml:space="preserve">ТЕХНИКО-ЭКОНОМИЧЕСКОЕ ОБОСНОВАНИЕ ПРЕДЛОЖЕНИЙ ПО ТИПАМ ПРИСОЕДИНЕНИЙ ТЕПЛОПОТРЕБЛЯЮЩИХ УСТАНОВОК </w:t>
      </w:r>
      <w:r>
        <w:t xml:space="preserve">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ОТДЕЛЬНЫМ УЧАСТКАМ ТАКОЙ СИСТЕМЫ, НА ЗАКРЫТУЮ СИСТЕМУ ГОРЯЧЕГО ВОДОСНАБЖЕНИЯ</w:t>
      </w:r>
      <w:bookmarkEnd w:id="243"/>
      <w:r/>
      <w:r/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3456"/>
        <w:ind w:firstLine="709"/>
      </w:pPr>
      <w:r>
        <w:t xml:space="preserve">В зоне действия котельной ЭЦ-2, пгт. Никель и котельной г. Заполярный, котельной №13/55 </w:t>
      </w:r>
      <w:r>
        <w:t xml:space="preserve">пгт. Печенга, ш. Печенгское </w:t>
      </w:r>
      <w:r>
        <w:t xml:space="preserve">предусмотрено горячее водоснабжение, организованное по открытой схеме. </w:t>
      </w:r>
      <w:r/>
    </w:p>
    <w:p>
      <w:pPr>
        <w:ind w:firstLine="709"/>
        <w:jc w:val="both"/>
        <w:widowControl w:val="off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 2013 года запрещается присоединение (подключение) внутридомовых си</w:t>
      </w:r>
      <w:r>
        <w:rPr>
          <w:rFonts w:cs="Times New Roman"/>
          <w:szCs w:val="24"/>
        </w:rPr>
        <w:t xml:space="preserve">стем горячего водоснабжения к тепловым сетям по схеме с непосредственным разбором теплоносителя на цели горячего водоснабжения по открытой схеме. К 2022 году все потребители, внутридомовые системы горячего водоснабжения которых были присоединены к тепловым</w:t>
      </w:r>
      <w:r>
        <w:rPr>
          <w:rFonts w:cs="Times New Roman"/>
          <w:szCs w:val="24"/>
        </w:rPr>
        <w:t xml:space="preserve"> сетям по схемам с непосредственным разбором теплоносителя на цели горячего водоснабжения, должны быть переведены на присоединение внутридомовых систем горячего водоснабжения по закрытой схеме при условии экономической целесообразности данного мероприятия.</w:t>
      </w:r>
      <w:r>
        <w:rPr>
          <w:rFonts w:cs="Times New Roman"/>
          <w:szCs w:val="24"/>
        </w:rPr>
      </w:r>
    </w:p>
    <w:p>
      <w:pPr>
        <w:ind w:firstLine="709"/>
        <w:jc w:val="both"/>
        <w:widowControl w:val="off"/>
        <w:rPr>
          <w:rFonts w:cs="Times New Roman"/>
          <w:szCs w:val="24"/>
        </w:rPr>
      </w:pPr>
      <w:r>
        <w:rPr>
          <w:rFonts w:eastAsia="Microsoft YaHei" w:cs="Times New Roman"/>
          <w:szCs w:val="24"/>
        </w:rPr>
        <w:t xml:space="preserve">Таким образом, в соответствии с действующим законодательством, необходимо предусмотреть перевод потребителей горячей воды на «закрытую» схему присоединения системы ГВС. </w:t>
      </w:r>
      <w:r>
        <w:rPr>
          <w:rFonts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Присоединение (подключение) всех потребителей </w:t>
      </w:r>
      <w:r>
        <w:rPr>
          <w:rFonts w:eastAsia="Microsoft YaHei" w:cs="Times New Roman"/>
          <w:szCs w:val="24"/>
        </w:rPr>
        <w:t xml:space="preserve">во вновь создаваемых зонах теплоснабжения, включая точечную застройку, будет осуществляться по закрытой схеме отпуска тепловой энергии на нужды горячего водоснабжения с установкой необходимого теплообменного оборудования в индивидуальных тепловых пунктах.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Актуальность перевода открытых систем горячего водоснабжения на закрытые схемы обусловлена следующими причинами: </w:t>
      </w:r>
      <w:r>
        <w:rPr>
          <w:rFonts w:eastAsia="Microsoft YaHei" w:cs="Times New Roman"/>
          <w:szCs w:val="24"/>
        </w:rPr>
      </w:r>
    </w:p>
    <w:p>
      <w:pPr>
        <w:pStyle w:val="723"/>
        <w:numPr>
          <w:ilvl w:val="0"/>
          <w:numId w:val="28"/>
        </w:numPr>
        <w:contextualSpacing/>
        <w:ind w:left="0" w:firstLine="709"/>
        <w:jc w:val="both"/>
        <w:spacing w:line="276" w:lineRule="auto"/>
        <w:rPr>
          <w:rFonts w:eastAsia="Microsoft YaHei"/>
        </w:rPr>
      </w:pPr>
      <w:r>
        <w:rPr>
          <w:rFonts w:eastAsia="Microsoft YaHei"/>
        </w:rPr>
        <w:t xml:space="preserve">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(70 ºС) для нужд ГВС приводит к «перетопам» в помещениях зданий.</w:t>
      </w:r>
      <w:r>
        <w:rPr>
          <w:rFonts w:eastAsia="Microsoft YaHei"/>
        </w:rPr>
      </w:r>
    </w:p>
    <w:p>
      <w:pPr>
        <w:pStyle w:val="723"/>
        <w:numPr>
          <w:ilvl w:val="0"/>
          <w:numId w:val="28"/>
        </w:numPr>
        <w:contextualSpacing/>
        <w:ind w:left="0" w:firstLine="709"/>
        <w:jc w:val="both"/>
        <w:spacing w:line="276" w:lineRule="auto"/>
        <w:rPr>
          <w:rFonts w:eastAsia="Microsoft YaHei"/>
        </w:rPr>
      </w:pPr>
      <w:r>
        <w:rPr>
          <w:rFonts w:eastAsia="Microsoft YaHei"/>
        </w:rPr>
        <w:t xml:space="preserve">существует перегрев горячей воды при эксплуатации открытой системы теплоснабжения без регулятора температуры горячей воды, которая фактически соответствует температуре воды в подающей линии тепловой сети. </w:t>
      </w:r>
      <w:r>
        <w:rPr>
          <w:rFonts w:eastAsia="Microsoft YaHei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Переход на закрытую схему ГВС будет обеспечиваться за счёт организации индивидуальн</w:t>
      </w:r>
      <w:r>
        <w:rPr>
          <w:rFonts w:eastAsia="Microsoft YaHei" w:cs="Times New Roman"/>
          <w:szCs w:val="24"/>
        </w:rPr>
        <w:t xml:space="preserve">ых тепловых пунктов у потребителей с установкой узлов регулирования систем отопления и горячего водоснабжения. Переход на закрытую схему ГВС предполагает снижение производительности водоподготовительных установок за счёт снижения водоразбора теплоносителя.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Для перевода потребителей с открытой схемой ГВС на закрытую требуется реконструкция тепловых пунктов в каждом здании. Реконструкция теплового пункта здания в части перехода на закрытую схему теплоснабжения должна быть выполнена при следующих условиях: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1. Выполнить проект реконструкции теплового пун</w:t>
      </w:r>
      <w:r>
        <w:rPr>
          <w:rFonts w:eastAsia="Microsoft YaHei" w:cs="Times New Roman"/>
          <w:szCs w:val="24"/>
        </w:rPr>
        <w:t xml:space="preserve">кта в соответствии с требованиями действующей НТД, разработать обновлённую схему, план, разрезы теплового пункта, расчёт оборудования, паспорт теплового пункта; согласовать и представить указанный перечень документов с единой теплоснабжающей организацией.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2. Тепловой пункт должен быть оборудован приборами учёта тепловой энергии, средствами автоматизации и контроля, в том числе для поддер</w:t>
      </w:r>
      <w:r>
        <w:rPr>
          <w:rFonts w:eastAsia="Microsoft YaHei" w:cs="Times New Roman"/>
          <w:szCs w:val="24"/>
        </w:rPr>
        <w:t xml:space="preserve">жания требуемого перепада (напора) в тепловых сетях на вводе в ЦТП или ИТП при превышении фактического перепада давлений, а так же для обеспечения минимального заданного давления в обратном трубопроводе системы теплопотребления при возможном его снижении.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5. Предусмотреть проектом ограничение расхода воды из тепловой сети на тепловой пункт и мероприятия по защите систем отопления от превышения допустимого давления.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6. Предусмотреть проектом увеличение нагрузки на систему водоснабжения потребителей.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7. Реконструкцию проводить без изменения схемы присоединения существующих потребителей.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8. Реконструкцию проводить под техническим надзором представителей единой теплоснабжающей организации.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9. Все работы по реконструкции выполнить в летний период после окончания и до начала отопительного периода по согласованию с единой теплоснабжающей организацией.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Тепловой пу</w:t>
      </w:r>
      <w:r>
        <w:rPr>
          <w:rFonts w:eastAsia="Microsoft YaHei" w:cs="Times New Roman"/>
          <w:szCs w:val="24"/>
        </w:rPr>
        <w:t xml:space="preserve">нкт (ТП) — один из главных элементов системы централизованного тепло-снабжения зданий, выполняющий функции приёма теплоносителя, преобразования (при необходимости) его параметров, распределения между потребителями тепловой энергии и учёта ее расходования.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Для реализации данного решения в зданиях малоэтажной постройки предполагается установить автоматизированные тепловые пункты.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Для упрощения процесса проектирования, комплектации и монтажа ТП могут изготавливаться в заводских условиях и поставляться на объект строительства в виде готовых блоков — блочный тепловой пункт (БТП).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БТП представляет собой собранные на раме в общую конструкцию отдельные функциональные узлы, как правило, в комплекте с приборами и устройствами контроля, автоматического регулирования и управления.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На данный момент в России широко применяются стандартные автоматизированные блочные тепловые пункты полной заводской готовно</w:t>
      </w:r>
      <w:r>
        <w:rPr>
          <w:rFonts w:eastAsia="Microsoft YaHei" w:cs="Times New Roman"/>
          <w:szCs w:val="24"/>
        </w:rPr>
        <w:t xml:space="preserve">сти,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отечественного производства.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В соответствие СП 41-101-95 «Проектирование тепловых пунктов» в зависимости от соотношения максимально-часовой тепловой на</w:t>
      </w:r>
      <w:r>
        <w:rPr>
          <w:rFonts w:eastAsia="Microsoft YaHei" w:cs="Times New Roman"/>
          <w:szCs w:val="24"/>
        </w:rPr>
        <w:t xml:space="preserve">грузки ГВС к нагрузке отопления предлагается оборудовать тепловые пункты абонентов одноступенчатыми (потребители малоэтажной застройки с незначительной тепловой нагрузкой ГВС), либо двухступенчатыми подогревателями ГВС (потребители многоквартирных домов).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Подключение системы отопления предполагается осуществлять по существующей на данный момент в зданиях зависимой схеме.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Потребителей, не имеющих тепловой нагрузки отопления и подключенных напрямую к тепловым сетям, предлагается подключать через подогреватель с установкой циркуляционного насоса и регулятора температуры.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Потребителей многоэтажной застройки предлагается подключать к тепловым сетям по двухступенчатой смешанной схеме.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Для малоэтажных зданий рекомендуется рассмотреть использование параллельной схемы присоединения подогревателя ГВС, для многоэтажных – смешанной схемы (после уточнения тепловых нагрузок здания на отопление и ГВС).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widowControl w:val="off"/>
        <w:rPr>
          <w:rFonts w:eastAsia="Microsoft YaHei" w:cs="Times New Roman"/>
          <w:szCs w:val="24"/>
        </w:rPr>
      </w:pPr>
      <w:r>
        <w:rPr>
          <w:rFonts w:eastAsia="Microsoft YaHei" w:cs="Times New Roman"/>
          <w:szCs w:val="24"/>
        </w:rPr>
        <w:t xml:space="preserve">При переходе потребителей тепла с открытой системы теплоснабжения на закрытую объем теплоноси</w:t>
      </w:r>
      <w:r>
        <w:rPr>
          <w:rFonts w:eastAsia="Microsoft YaHei" w:cs="Times New Roman"/>
          <w:szCs w:val="24"/>
        </w:rPr>
        <w:t xml:space="preserve">теля в тепловой сети сократится. В тоже время при переходе на закрытую систему теплоснабжения возрастёт нагрузка на систему холодного водоснабжения, в связи с необходимостью подавать холодную воду для нагрева в индивидуальные тепловые пункты потребителей. </w:t>
      </w:r>
      <w:r>
        <w:rPr>
          <w:rFonts w:eastAsia="Microsoft YaHei"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До перевода потребителей с «открытой» системы горяч</w:t>
      </w:r>
      <w:r>
        <w:rPr>
          <w:rFonts w:cs="Times New Roman"/>
          <w:szCs w:val="24"/>
        </w:rPr>
        <w:t xml:space="preserve">его водоснабжения на «закрытую» в соответствии со статьёй 25 - Производственный контроль качества питьевой воды, качества горячей воды федерального закона №416-ФЗ от 07.12.2011 «О водоснабжении и водоотведении» и в соответствии с «Правилами осуществления п</w:t>
      </w:r>
      <w:r>
        <w:rPr>
          <w:rFonts w:cs="Times New Roman"/>
          <w:szCs w:val="24"/>
        </w:rPr>
        <w:t xml:space="preserve">роизводственного контроля качества и безопасности питьевой воды, горячей воды», утверждёнными Постановлением Правительства РФ от 06.01.2015 N 10 «О порядке осуществления производственного контроля качества и безопасности питьевой воды, горячей воды» в тепл</w:t>
      </w:r>
      <w:r>
        <w:rPr>
          <w:rFonts w:cs="Times New Roman"/>
          <w:szCs w:val="24"/>
        </w:rPr>
        <w:t xml:space="preserve">оснабжающих организациях, при использовании источников тепловой энергии и (или) тепловых сетей которых осуществляется горячее водоснабжение по «открытой» схеме, должен быть организован производственный контроль качества горячей воды, отпускаемой абонентам.</w:t>
      </w:r>
      <w:r>
        <w:rPr>
          <w:rFonts w:cs="Times New Roman"/>
          <w:szCs w:val="24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244" w:name="_Toc30081903"/>
      <w:r/>
      <w:bookmarkStart w:id="245" w:name="_Toc30085138"/>
      <w:r/>
      <w:bookmarkStart w:id="246" w:name="_Toc32845404"/>
      <w:r/>
      <w:bookmarkStart w:id="247" w:name="_Toc204085749"/>
      <w:r>
        <w:t xml:space="preserve">Часть 2. </w:t>
      </w:r>
      <w:bookmarkEnd w:id="244"/>
      <w:r/>
      <w:bookmarkEnd w:id="245"/>
      <w:r/>
      <w:bookmarkEnd w:id="246"/>
      <w:r>
        <w:t xml:space="preserve">ОБОСНОВАНИЕ И ПЕРЕСМОТР ГРАФИКА ТЕМПЕРАТУР ТЕПЛОНОСИТЕЛЯ И ЕГО РАСХОДА В ОТКРЫТОЙ СИСТЕМЕ ТЕПЛОСНАБЖЕНИЯ (ГОРЯЧЕГО ВОДОСНАБЖЕНИЯ)</w:t>
      </w:r>
      <w:bookmarkEnd w:id="247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Метод регулирования отпуска тепловой энергии от источников теплоэнергии сохранится качественно-количественный. Планируется, что теплоноситель будет отпускаться в сеть по существующим температурным графикам регулирования.</w:t>
      </w:r>
      <w:r>
        <w:rPr>
          <w:rFonts w:cs="Times New Roman"/>
          <w:szCs w:val="24"/>
        </w:rPr>
      </w:r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248" w:name="_Toc30081904"/>
      <w:r/>
      <w:bookmarkStart w:id="249" w:name="_Toc30085139"/>
      <w:r/>
      <w:bookmarkStart w:id="250" w:name="_Toc32845405"/>
      <w:r/>
      <w:bookmarkStart w:id="251" w:name="_Toc204085750"/>
      <w:r>
        <w:t xml:space="preserve">Часть 3. </w:t>
      </w:r>
      <w:bookmarkEnd w:id="248"/>
      <w:r/>
      <w:bookmarkEnd w:id="249"/>
      <w:r/>
      <w:bookmarkEnd w:id="250"/>
      <w:r>
        <w:t xml:space="preserve">ПРЕДЛОЖЕНИЯ ПО РЕКОНСТРУКЦИИ ТЕПЛОВЫХ СЕТЕЙ В ОТКРЫТЫХ СИСТЕМАХ ТЕПЛОСНАБЖЕНИЯ (ГОРЯЧЕГО ВОДОСНАБЖЕНИЯ), НА ОТДЕЛЬНЫХ УЧАСТКАХ ТАКИХ СИСТЕМ, ОБЕСПЕЧИВАЮЩИХ ПЕРЕДАЧУ ТЕПЛОВОЙ ЭНЕРГИИ К ПОТРЕБИТЕЛЯМ</w:t>
      </w:r>
      <w:bookmarkEnd w:id="251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Реконструкция тепловых сетей для обеспечения тепловой энергии при переходе от открытой системы теплоснабже</w:t>
      </w:r>
      <w:r>
        <w:rPr>
          <w:rFonts w:cs="Times New Roman"/>
          <w:szCs w:val="24"/>
        </w:rPr>
        <w:t xml:space="preserve">ния (горячего водоснабжения) к закрытой системе горячего водоснабжения не требуется. Поскольку перевод на закрытую систему теплоснабжения будет осуществляться за счёт устройства ИТП с сохранением существующей схемы присоединения систем отопления абонентов.</w:t>
      </w:r>
      <w:r>
        <w:rPr>
          <w:rFonts w:cs="Times New Roman"/>
          <w:szCs w:val="24"/>
        </w:rPr>
      </w:r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252" w:name="_Toc30081905"/>
      <w:r/>
      <w:bookmarkStart w:id="253" w:name="_Toc30085140"/>
      <w:r/>
      <w:bookmarkStart w:id="254" w:name="_Toc32845417"/>
      <w:r/>
      <w:bookmarkStart w:id="255" w:name="_Toc204085751"/>
      <w:r>
        <w:t xml:space="preserve">Часть 4. </w:t>
      </w:r>
      <w:bookmarkEnd w:id="252"/>
      <w:r/>
      <w:bookmarkEnd w:id="253"/>
      <w:r/>
      <w:bookmarkEnd w:id="254"/>
      <w:r>
        <w:t xml:space="preserve">РАСЧЕТ ПОТРЕБНОСТИ ИНВЕСТИЦИЙ ДЛЯ ПЕРЕВОДА ОТКРЫТЫХ СИСТЕМ ТЕПЛОСНАБЖЕНИЯ (ГОРЯЧЕГО ВОДОСНАБЖЕНИЯ), ОТДЕЛЬНЫХ УЧАСТКОВ ТАКИХ СИСТЕМ НА ЗАКРЫТЫЕ СИСТЕМЫ ГОРЯЧЕГО ВОДОСНАБЖЕНИЯ</w:t>
      </w:r>
      <w:bookmarkEnd w:id="255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4"/>
        </w:rPr>
      </w:pPr>
      <w:r/>
      <w:bookmarkStart w:id="256" w:name="_Hlk204065200"/>
      <w:r>
        <w:rPr>
          <w:rFonts w:cs="Times New Roman"/>
          <w:szCs w:val="24"/>
        </w:rPr>
        <w:t xml:space="preserve">Общая сумма инвестиций, необходимых для перевода открытой системы теплоснабжения (горячего водоснабжения) на закрытую систему горячего водоснабжения предварительно составит </w:t>
      </w:r>
      <w:r>
        <w:rPr>
          <w:rFonts w:cs="Times New Roman"/>
          <w:bCs/>
          <w:color w:val="000000"/>
          <w:sz w:val="22"/>
        </w:rPr>
        <w:t xml:space="preserve">1</w:t>
      </w:r>
      <w:r>
        <w:rPr>
          <w:rFonts w:cs="Times New Roman"/>
          <w:bCs/>
          <w:color w:val="000000"/>
          <w:sz w:val="22"/>
        </w:rPr>
        <w:t xml:space="preserve"> </w:t>
      </w:r>
      <w:r>
        <w:rPr>
          <w:rFonts w:cs="Times New Roman"/>
          <w:bCs/>
          <w:color w:val="000000"/>
          <w:sz w:val="22"/>
        </w:rPr>
        <w:t xml:space="preserve">57</w:t>
      </w:r>
      <w:r>
        <w:rPr>
          <w:rFonts w:cs="Times New Roman"/>
          <w:bCs/>
          <w:color w:val="000000"/>
          <w:sz w:val="22"/>
        </w:rPr>
        <w:t xml:space="preserve">4 756,48</w:t>
      </w:r>
      <w:r>
        <w:rPr>
          <w:rFonts w:cs="Times New Roman"/>
          <w:szCs w:val="24"/>
        </w:rPr>
        <w:t xml:space="preserve">. руб.</w:t>
      </w:r>
      <w:r>
        <w:rPr>
          <w:rFonts w:cs="Times New Roman"/>
          <w:szCs w:val="24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Таблица 9.4.1 – Капитальные затраты на перевод потребителей с открытой системой горячего водоснабжения на закрытую в Печенгском муниципальном округе</w:t>
      </w:r>
      <w:r>
        <w:rPr>
          <w:rFonts w:cs="Times New Roman"/>
          <w:b/>
          <w:szCs w:val="24"/>
        </w:rPr>
      </w:r>
    </w:p>
    <w:tbl>
      <w:tblPr>
        <w:tblW w:w="992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02"/>
        <w:gridCol w:w="1701"/>
        <w:gridCol w:w="1166"/>
        <w:gridCol w:w="1166"/>
        <w:gridCol w:w="1244"/>
        <w:gridCol w:w="1244"/>
      </w:tblGrid>
      <w:tr>
        <w:tblPrEx/>
        <w:trPr>
          <w:trHeight w:val="301"/>
          <w:tblHeader/>
        </w:trPr>
        <w:tc>
          <w:tcPr>
            <w:shd w:val="clear" w:color="000000" w:fill="f2f2f2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Наименование мероприятия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Краткое описание мероприятия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2f2f2"/>
            <w:tcW w:w="23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Стоимость проекта, тыс. руб.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2f2f2"/>
            <w:tcW w:w="24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Период реализации проекта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  <w:tblHeader/>
        </w:trPr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 НДС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НДС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начало реализации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конец реализации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п.г.т. Никель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Устройство ИТП у потребителей пгт. Никель для перехода на закрытую схему теплоснабжения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Присоединённая нагрузка на ГВС – 7,030 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576583,34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691900,00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2026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2028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Строительство сетей горячего водоснабжения и объектов пгт. Никель на них для перехода на закрытую систему теплоснабжения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Будут определены проектно-сметной документацией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33652,66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40383,20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2026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2030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gridSpan w:val="2"/>
            <w:shd w:val="clear" w:color="auto" w:fill="auto"/>
            <w:tcW w:w="510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по переводу с открытой системы горячего водоснабжения на закрытую: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610236,00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732283,20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г. Заполярный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Устройство ИТП у потребителей г. Заполярный для перехода на закрытую схему теплоснабжения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Присоединённая нагрузка на ГВС – 12,428 Гкал/ч, количество ИТП (город) - 169 шт.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692972,148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831566,58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2026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2028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gridSpan w:val="2"/>
            <w:shd w:val="clear" w:color="auto" w:fill="auto"/>
            <w:tcW w:w="510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по переводу с открытой системы горячего водоснабжения на закрытую: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692972,15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831566,58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3402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п.г.т. Печенга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Устройство ИТП у потребителей котельной № 13/55 пгт. Печенга, ш. Печенгское (в.г. №13) для перехода на закрытую схему теплоснабжения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Присоединённая нагрузка на ГВС – 0,1921 Гкал/ч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8725,36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10906,70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2028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gridSpan w:val="2"/>
            <w:shd w:val="clear" w:color="auto" w:fill="auto"/>
            <w:tcW w:w="5103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по переводу с открытой системы горячего водоснабжения на закрытую: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8725,36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10906,70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gridSpan w:val="2"/>
            <w:shd w:val="clear" w:color="auto" w:fill="f2f2f2" w:themeFill="background1" w:themeFillShade="F2"/>
            <w:tcW w:w="5103" w:type="dxa"/>
            <w:vAlign w:val="center"/>
            <w:textDirection w:val="lrTb"/>
            <w:noWrap/>
          </w:tcPr>
          <w:p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по мероприятиям: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1166" w:type="dxa"/>
            <w:vAlign w:val="center"/>
            <w:textDirection w:val="lrTb"/>
            <w:noWrap/>
          </w:tcPr>
          <w:p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</w:rPr>
              <w:t xml:space="preserve">1311933,51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116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1574756,48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2f2f2" w:themeFill="background1" w:themeFillShade="F2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2f2f2" w:themeFill="background1" w:themeFillShade="F2"/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 </w:t>
            </w:r>
            <w:bookmarkEnd w:id="256"/>
            <w:r>
              <w:rPr>
                <w:rFonts w:cs="Times New Roman"/>
                <w:color w:val="000000"/>
                <w:sz w:val="20"/>
                <w:szCs w:val="20"/>
              </w:rPr>
            </w:r>
          </w:p>
        </w:tc>
      </w:tr>
    </w:tbl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</w:r>
      <w:r>
        <w:rPr>
          <w:szCs w:val="23"/>
        </w:rPr>
      </w:r>
    </w:p>
    <w:p>
      <w:pPr>
        <w:pStyle w:val="717"/>
        <w:ind w:left="0" w:firstLine="0"/>
      </w:pPr>
      <w:r/>
      <w:bookmarkStart w:id="257" w:name="_Toc30081906"/>
      <w:r/>
      <w:bookmarkStart w:id="258" w:name="_Toc30085141"/>
      <w:r/>
      <w:bookmarkStart w:id="259" w:name="_Toc32845421"/>
      <w:r/>
      <w:bookmarkStart w:id="260" w:name="_Toc204085752"/>
      <w:r>
        <w:t xml:space="preserve">Часть 5. </w:t>
      </w:r>
      <w:bookmarkEnd w:id="257"/>
      <w:r/>
      <w:bookmarkEnd w:id="258"/>
      <w:r/>
      <w:bookmarkEnd w:id="259"/>
      <w:r>
        <w:t xml:space="preserve">ОЦЕНКА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  <w:bookmarkEnd w:id="260"/>
      <w:r/>
      <w:r/>
    </w:p>
    <w:p>
      <w:pPr>
        <w:rPr>
          <w:rFonts w:cs="Times New Roman"/>
        </w:rPr>
      </w:pPr>
      <w:r/>
      <w:bookmarkStart w:id="261" w:name="_Toc32845422"/>
      <w:r/>
      <w:bookmarkEnd w:id="261"/>
      <w:r>
        <w:rPr>
          <w:rFonts w:cs="Times New Roman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Ключевыми критериями для перехода на закрытую систему присоединения ГВС будут являться: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1) Для источников и тепловых сетей: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</w:t>
      </w:r>
      <w:r>
        <w:rPr>
          <w:szCs w:val="23"/>
        </w:rPr>
        <w:t xml:space="preserve"> </w:t>
      </w:r>
      <w:r>
        <w:rPr>
          <w:szCs w:val="23"/>
        </w:rPr>
        <w:t xml:space="preserve">увеличение срока службы водогрейных котлов;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</w:t>
      </w:r>
      <w:r>
        <w:rPr>
          <w:szCs w:val="23"/>
        </w:rPr>
        <w:t xml:space="preserve"> </w:t>
      </w:r>
      <w:r>
        <w:rPr>
          <w:szCs w:val="23"/>
        </w:rPr>
        <w:t xml:space="preserve">увеличение срока службы магистральных и квартальных тепловых сетей;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</w:t>
      </w:r>
      <w:r>
        <w:rPr>
          <w:szCs w:val="23"/>
        </w:rPr>
        <w:t xml:space="preserve"> </w:t>
      </w:r>
      <w:r>
        <w:rPr>
          <w:szCs w:val="23"/>
        </w:rPr>
        <w:t xml:space="preserve">снижение нагрузки на систему подпитки теплосети;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2) Для потребителей: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</w:t>
      </w:r>
      <w:r>
        <w:rPr>
          <w:szCs w:val="23"/>
        </w:rPr>
        <w:t xml:space="preserve"> </w:t>
      </w:r>
      <w:r>
        <w:rPr>
          <w:szCs w:val="23"/>
        </w:rPr>
        <w:t xml:space="preserve">улучшение качества теплоснабжения потребителей, исчезновение «перетопов» во время положительных температур наружного воздуха в отопительный период;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 - соответствие качества горячей воды санитарным нормам.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Переход на независимые схемы позволит широко применять автоматизацию процесс</w:t>
      </w:r>
      <w:r>
        <w:rPr>
          <w:szCs w:val="23"/>
        </w:rPr>
        <w:t xml:space="preserve">ов регулирования и повышать надежность теплоснабжения. При внедрении, совместно с «закрытием» системы ГВС независимых схем теплоснабжения городских объектов, отопительное оборудование потребителей гидравлически изолируется от сетей производителя тепла, что</w:t>
      </w:r>
      <w:r>
        <w:rPr>
          <w:szCs w:val="23"/>
        </w:rPr>
        <w:t xml:space="preserve"> позволяет использовать более эффективные и безаварийные режимы работы насосного оборудования как в автоматизированных индивидуальных тепловых пунктах (АИТП) потребителя, так и на магистральных и внутриквартальных сетях ресурсоснабжающих организаций (РСО).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Также следует отметить возможные эффекты для потребителей: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 снижение платежей за горячую воду при стоимости теплоносителя выше стоимости водопроводной воды;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 соблюдение температуры горячей воды;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 уменьшение сливов при отсутствии циркуляции;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 повышение достоверности и снижение стоимости приборного учета.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Возможны эффекты от перехода также и для теплоснабжающей организации: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 ликвидация убытков при тарифе на теплоноситель ниже реальных затрат;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 возможность получения дополнительных доходов от эксплуатации ИТП;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 улучшение режимов в тепловых сетях с возможностью подключения новых потребителей;</w:t>
      </w:r>
      <w:r>
        <w:rPr>
          <w:szCs w:val="23"/>
        </w:rPr>
      </w:r>
    </w:p>
    <w:p>
      <w:pPr>
        <w:pStyle w:val="822"/>
        <w:ind w:firstLine="709"/>
        <w:jc w:val="both"/>
        <w:rPr>
          <w:szCs w:val="23"/>
        </w:rPr>
      </w:pPr>
      <w:r>
        <w:rPr>
          <w:szCs w:val="23"/>
        </w:rPr>
        <w:t xml:space="preserve">- повышение качества теплоносителя с уменьшением внутренней коррозии оборудования.</w:t>
      </w:r>
      <w:r>
        <w:rPr>
          <w:szCs w:val="23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Расчёт </w:t>
      </w:r>
      <w:r>
        <w:rPr>
          <w:rFonts w:cs="Times New Roman"/>
          <w:szCs w:val="24"/>
          <w:shd w:val="clear" w:color="auto" w:fill="ffffff"/>
        </w:rPr>
        <w:t xml:space="preserve">экономической эффективности от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 в </w:t>
      </w:r>
      <w:r>
        <w:rPr>
          <w:rFonts w:cs="Times New Roman"/>
          <w:szCs w:val="24"/>
        </w:rPr>
        <w:t xml:space="preserve">Печенгском муниципальном округе представлен в таблице 9.</w:t>
      </w:r>
      <w:r>
        <w:rPr>
          <w:rFonts w:cs="Times New Roman"/>
          <w:szCs w:val="24"/>
        </w:rPr>
        <w:t xml:space="preserve">5</w:t>
      </w:r>
      <w:r>
        <w:rPr>
          <w:rFonts w:cs="Times New Roman"/>
          <w:szCs w:val="24"/>
        </w:rPr>
        <w:t xml:space="preserve">.1.</w:t>
      </w:r>
      <w:r>
        <w:rPr>
          <w:rFonts w:cs="Times New Roman"/>
          <w:szCs w:val="24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cs="Times New Roman"/>
          <w:b/>
        </w:rPr>
      </w:pPr>
      <w:r>
        <w:rPr>
          <w:rFonts w:cs="Times New Roman"/>
          <w:b/>
        </w:rPr>
        <w:t xml:space="preserve">Таблица 9.5.1 - Расчёт </w:t>
      </w:r>
      <w:r>
        <w:rPr>
          <w:rFonts w:cs="Times New Roman"/>
          <w:b/>
          <w:shd w:val="clear" w:color="auto" w:fill="ffffff"/>
        </w:rPr>
        <w:t xml:space="preserve">экономической эффективности от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 в Печенгском муниципальном округе</w:t>
      </w:r>
      <w:r>
        <w:rPr>
          <w:rFonts w:cs="Times New Roman"/>
          <w:b/>
        </w:rPr>
      </w:r>
    </w:p>
    <w:tbl>
      <w:tblPr>
        <w:tblW w:w="89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"/>
        <w:gridCol w:w="4755"/>
        <w:gridCol w:w="1866"/>
        <w:gridCol w:w="1842"/>
      </w:tblGrid>
      <w:tr>
        <w:tblPrEx/>
        <w:trPr>
          <w:trHeight w:val="560"/>
        </w:trPr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475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Наименование мероприятия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8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Затраты (план), млн. руб. (с НДС)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Срок окупаемости по экономическому эффекту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75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Устройство ИТП у потребителей пгт. Никель для перехода на закрытую схему теплоснабжения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66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691,9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15,7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trHeight w:val="33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75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Строительство сетей горячего водоснабжения и объектов пгт. Никель на них для перехода на закрытую систему теплоснабжения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66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40,383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7,3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trHeight w:val="33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75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Устройство ИТП у потребителей г. Заполярный для перехода на закрытую схему теплоснабжения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66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831,567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12,6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trHeight w:val="45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75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Устройство ИТП у потребителей котельной № 13/55 пгт. Печенга, ш. Печенгское (в.г. №13) для перехода на закрытую схему теплоснабжения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66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10,907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10,2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Из таблицы 9.6.1 видно, что срок окупаемости по основным мероприятиям превышает 10-летний пер</w:t>
      </w:r>
      <w:r>
        <w:rPr>
          <w:rFonts w:cs="Times New Roman"/>
          <w:szCs w:val="24"/>
        </w:rPr>
        <w:t xml:space="preserve">иод, установленный требованиями постановления Правительства Российской Федерации от 22.02.2012 г. №154 (в ред. постановления Правительства РФ от 10.01.2023 № 5). В связи с этим, эффект от реализации всего комплекса мероприятия нельзя назвать положительным.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Но поскольку расчёт </w:t>
      </w:r>
      <w:r>
        <w:rPr>
          <w:rFonts w:cs="Times New Roman"/>
          <w:szCs w:val="24"/>
          <w:shd w:val="clear" w:color="auto" w:fill="ffffff"/>
        </w:rPr>
        <w:t xml:space="preserve">экономической эффективности носит предварительный характер из-за отсутствия более подробных информационных данных, то в рамках настоящей Схемы теплоснабжения данное мероприятие может рассматриваться как вариант развития систем теплоснабжения.</w:t>
      </w:r>
      <w:r>
        <w:rPr>
          <w:rFonts w:cs="Times New Roman"/>
          <w:szCs w:val="24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262" w:name="_Toc30081907"/>
      <w:r/>
      <w:bookmarkStart w:id="263" w:name="_Toc30085142"/>
      <w:r/>
      <w:bookmarkStart w:id="264" w:name="_Toc32845453"/>
      <w:r/>
      <w:bookmarkStart w:id="265" w:name="_Toc204085753"/>
      <w:r>
        <w:t xml:space="preserve">Часть 6. </w:t>
      </w:r>
      <w:bookmarkEnd w:id="262"/>
      <w:r/>
      <w:bookmarkEnd w:id="263"/>
      <w:r/>
      <w:bookmarkEnd w:id="264"/>
      <w:r>
        <w:t xml:space="preserve">РАСЧЕТ ЦЕНОВЫХ (ТАРИФНЫХ) ПОСЛЕДСТВИЙ ДЛЯ ПОТРЕБИТЕЛЕЙ В СЛУЧАЕ РЕАЛИЗАЦИИ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  <w:bookmarkEnd w:id="265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3483"/>
        <w:ind w:firstLine="709"/>
        <w:keepLines w:val="0"/>
        <w:keepNext w:val="0"/>
        <w:spacing w:before="0" w:line="276" w:lineRule="auto"/>
        <w:tabs>
          <w:tab w:val="clear" w:pos="9356" w:leader="none"/>
        </w:tabs>
        <w:rPr>
          <w:rFonts w:eastAsia="Microsoft YaHei"/>
          <w:sz w:val="24"/>
          <w:szCs w:val="24"/>
          <w:lang w:val="ru-RU" w:eastAsia="en-US"/>
        </w:rPr>
        <w:suppressLineNumbers w:val="0"/>
      </w:pPr>
      <w:r>
        <w:rPr>
          <w:rFonts w:eastAsia="Microsoft YaHei"/>
          <w:sz w:val="24"/>
          <w:szCs w:val="24"/>
          <w:lang w:val="ru-RU" w:eastAsia="en-US"/>
        </w:rPr>
        <w:t xml:space="preserve">В качестве возможных источников финансирования мер</w:t>
      </w:r>
      <w:r>
        <w:rPr>
          <w:rFonts w:eastAsia="Microsoft YaHei"/>
          <w:sz w:val="24"/>
          <w:szCs w:val="24"/>
          <w:lang w:val="ru-RU" w:eastAsia="en-US"/>
        </w:rPr>
        <w:t xml:space="preserve">оприятий предполагаются средства Фонда капитального ремонта, средства Управляющих компаний и ТСЖ, средства собственников жилых помещений многоквартирных домов, средства собственников общественных, коммерческих и производственных зданий и прочие источники. </w:t>
      </w:r>
      <w:r>
        <w:rPr>
          <w:rFonts w:eastAsia="Microsoft YaHei"/>
          <w:sz w:val="24"/>
          <w:szCs w:val="24"/>
          <w:lang w:val="ru-RU" w:eastAsia="en-US"/>
        </w:rPr>
      </w:r>
    </w:p>
    <w:p>
      <w:pPr>
        <w:pStyle w:val="3483"/>
        <w:ind w:firstLine="709"/>
        <w:keepLines w:val="0"/>
        <w:keepNext w:val="0"/>
        <w:spacing w:before="0" w:line="276" w:lineRule="auto"/>
        <w:tabs>
          <w:tab w:val="clear" w:pos="9356" w:leader="none"/>
        </w:tabs>
        <w:rPr>
          <w:rFonts w:eastAsia="Microsoft YaHei"/>
          <w:sz w:val="24"/>
          <w:szCs w:val="24"/>
          <w:lang w:val="ru-RU" w:eastAsia="en-US"/>
        </w:rPr>
        <w:suppressLineNumbers w:val="0"/>
      </w:pPr>
      <w:r>
        <w:rPr>
          <w:rFonts w:eastAsia="Microsoft YaHei"/>
          <w:sz w:val="24"/>
          <w:szCs w:val="24"/>
          <w:lang w:val="ru-RU" w:eastAsia="en-US"/>
        </w:rPr>
        <w:t xml:space="preserve">Ни один из перечисленных источников на сегодняшний день не предусматривает финансирования мероприятий п</w:t>
      </w:r>
      <w:r>
        <w:rPr>
          <w:rFonts w:eastAsia="Microsoft YaHei"/>
          <w:sz w:val="24"/>
          <w:szCs w:val="24"/>
          <w:lang w:val="ru-RU" w:eastAsia="en-US"/>
        </w:rPr>
        <w:t xml:space="preserve">о переводу потребителей горячего водоснабжения с открытой схемы на закрытую схему ГВС. Кроме того, мероприятия по переводу потребителей горячего водоснабжения с открытой схемы на закрытую схему ГВС не могут быть проведены без согласия собственников зданий.</w:t>
      </w:r>
      <w:r>
        <w:rPr>
          <w:rFonts w:eastAsia="Microsoft YaHei"/>
          <w:sz w:val="24"/>
          <w:szCs w:val="24"/>
          <w:lang w:val="ru-RU" w:eastAsia="en-US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Ценовые </w:t>
      </w:r>
      <w:r>
        <w:rPr>
          <w:rFonts w:cs="Times New Roman"/>
          <w:szCs w:val="24"/>
          <w:shd w:val="clear" w:color="auto" w:fill="ffffff"/>
        </w:rPr>
        <w:t xml:space="preserve">(тарифные) последствия для потребителей в случа</w:t>
      </w:r>
      <w:r>
        <w:rPr>
          <w:rFonts w:cs="Times New Roman"/>
          <w:szCs w:val="24"/>
          <w:shd w:val="clear" w:color="auto" w:fill="ffffff"/>
        </w:rPr>
        <w:t xml:space="preserve">е реализации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 оценить не представляется возможным ввиду отсутствия необходимых информационных данных.</w:t>
      </w:r>
      <w:r>
        <w:rPr>
          <w:rFonts w:cs="Times New Roman"/>
          <w:szCs w:val="24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266" w:name="_Toc45633591"/>
      <w:r/>
      <w:bookmarkStart w:id="267" w:name="_Toc53927708"/>
      <w:r/>
      <w:bookmarkStart w:id="268" w:name="_Toc204085754"/>
      <w:r>
        <w:t xml:space="preserve">Часть 7. </w:t>
      </w:r>
      <w:bookmarkEnd w:id="266"/>
      <w:r/>
      <w:bookmarkEnd w:id="267"/>
      <w:r>
        <w:t xml:space="preserve">ОПИСАНИЕ АКТУАЛЬНЫХ ИЗМЕНЕНИЙ В ПРЕДЛОЖЕНИЯХ ПО ПЕРЕВОДУ ОТКРЫТЫХ СИС</w:t>
      </w:r>
      <w:r>
        <w:t xml:space="preserve">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</w:r>
      <w:bookmarkEnd w:id="268"/>
      <w:r/>
      <w:r/>
    </w:p>
    <w:p>
      <w:pPr>
        <w:pStyle w:val="728"/>
        <w:ind w:firstLine="851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ind w:firstLine="851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Изменения отсутствуют.</w:t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rPr>
          <w:rFonts w:cs="Times New Roman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  <w:rPr>
          <w:sz w:val="28"/>
          <w:szCs w:val="28"/>
        </w:rPr>
      </w:pPr>
      <w:r/>
      <w:hyperlink r:id="rId116" w:tooltip="file:///D:\Source\Ses\Docs\Оглавление%20том%202%20%20О.М..docx#bookmark85" w:anchor="bookmark85" w:history="1">
        <w:bookmarkStart w:id="269" w:name="_Toc45625263"/>
        <w:bookmarkStart w:id="270" w:name="_Toc204085755"/>
        <w:r>
          <w:rPr>
            <w:sz w:val="28"/>
            <w:szCs w:val="28"/>
          </w:rPr>
          <w:t xml:space="preserve">ГЛАВА 10.</w:t>
        </w:r>
        <w:r>
          <w:rPr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 xml:space="preserve">ПЕРСПЕКТИВНЫЕ ТОПЛИВНЫЕ БАЛАНСЫ</w:t>
      </w:r>
      <w:bookmarkEnd w:id="269"/>
      <w:r/>
      <w:bookmarkEnd w:id="270"/>
      <w:r/>
      <w:r>
        <w:rPr>
          <w:sz w:val="28"/>
          <w:szCs w:val="28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17" w:tooltip="file:///D:\Source\Ses\Docs\Оглавление%20том%202%20%20О.М..docx#bookmark108" w:anchor="bookmark108" w:history="1">
        <w:bookmarkStart w:id="271" w:name="_Toc204085756"/>
        <w:r>
          <w:t xml:space="preserve">Часть 1. РАСЧЕТЫ ПО КАЖДОМУ ИСТОЧНИКУ ТЕПЛОВОЙ ЭНЕРГИИ ПЕРСПЕКТИВНЫХ МАКСИМАЛЬНЫХ ЧАСОВЫХ И ГОДОВЫХ</w:t>
        </w:r>
      </w:hyperlink>
      <w:r>
        <w:t xml:space="preserve"> </w:t>
      </w:r>
      <w:hyperlink r:id="rId118" w:tooltip="file:///D:\Source\Ses\Docs\Оглавление%20том%202%20%20О.М..docx#bookmark108" w:anchor="bookmark108" w:history="1">
        <w:r>
          <w:t xml:space="preserve">РАСХОДОВ ОСНОВНОГО ВИДА ТОПЛИВА</w:t>
        </w:r>
      </w:hyperlink>
      <w:r>
        <w:t xml:space="preserve"> ДЛЯ ЗИМНЕГО И ЛЕТНЕГО ПЕРИОДОВ, НЕОБХОДИМОГО ДЛЯ ОБЕСПЕЧЕНИЯ НОРМАТИВНОГО ФУНКЦИОНИРОВАНИЯ ИСТОЧНИКОВ ТЕПЛОВОЙ ЭНЕРГИИ НА ТЕРРИТОРИИ ПОСЕЛЕНИЯ, ГОРОДСКОГО ОКРУГА, ГОРОДА ФЕДЕРАЛЬНОГО ЗНАЧЕНИЯ</w:t>
      </w:r>
      <w:bookmarkEnd w:id="271"/>
      <w:r/>
      <w:r/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1124"/>
        <w:ind w:firstLine="709"/>
        <w:rPr>
          <w:lang w:eastAsia="ru-RU"/>
        </w:rPr>
      </w:pPr>
      <w:r>
        <w:rPr>
          <w:bCs/>
          <w:lang w:eastAsia="ru-RU"/>
        </w:rPr>
        <w:t xml:space="preserve">Прогнозные значения топливного баланса в зоне деятельности единой теплоснабжающей организации</w:t>
      </w:r>
      <w:r>
        <w:rPr>
          <w:lang w:eastAsia="ru-RU"/>
        </w:rPr>
        <w:t xml:space="preserve"> представлен в таблице ниже.</w:t>
      </w:r>
      <w:r>
        <w:rPr>
          <w:lang w:eastAsia="ru-RU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10.1.1 - Прогнозные значения топливного баланса в зоне деятельности единой теплоснабжающей организации</w:t>
      </w:r>
      <w:r>
        <w:rPr>
          <w:rFonts w:cs="Times New Roman"/>
        </w:rPr>
      </w:r>
    </w:p>
    <w:tbl>
      <w:tblPr>
        <w:tblW w:w="19562" w:type="dxa"/>
        <w:tblInd w:w="-5" w:type="dxa"/>
        <w:tblLook w:val="04A0" w:firstRow="1" w:lastRow="0" w:firstColumn="1" w:lastColumn="0" w:noHBand="0" w:noVBand="1"/>
      </w:tblPr>
      <w:tblGrid>
        <w:gridCol w:w="616"/>
        <w:gridCol w:w="3637"/>
        <w:gridCol w:w="1190"/>
        <w:gridCol w:w="1066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393"/>
      </w:tblGrid>
      <w:tr>
        <w:tblPrEx/>
        <w:trPr>
          <w:trHeight w:val="541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№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Показатель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Ед. изм.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2034-2038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2039-2043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deeaf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ЕТО-1 АО «МЭС»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271312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259738,45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262184,00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166,12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187,04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187,04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187,04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187,04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187,04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145,5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145,5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145,5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145,5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145,5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145,5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Мазут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45070,93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48553,40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48553,40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48553,40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48553,40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48553,40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37784,23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37784,23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37784,23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37784,23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37784,23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37784,23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Мазут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33082,205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35701,03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35701,03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35701,03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35701,03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35701,03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32741,97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32741,97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32741,97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32741,97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32741,97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32741,97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191312,00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165019,56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164626,00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172,69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202,14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202,14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202,14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202,14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202,14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148,06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148,06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148,06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148,06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148,06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148,06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Мазут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33037,86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34077,74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31575,91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31575,91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31575,91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31575,91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24961,51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24961,51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24961,51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24961,51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24961,51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24961,51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Мазут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24249,679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25057,16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23217,58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23217,58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23217,58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23217,58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21630,42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21630,42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21630,42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21630,42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21630,42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21630,42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выработано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462624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424758,01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/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Мазут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462624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424758,01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424758,01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426810,00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424758,01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расход топлива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74255,33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73673,39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73673,39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73673,39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73673,39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73673,39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62329,88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62329,88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62329,88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62329,88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62329,88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62329,88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Мазут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78108,79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82631,1411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80129,3124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80129,3124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80129,3124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80129,3124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62745,7389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62745,7389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62745,7389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62745,7389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62745,7389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62745,7389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расход топлива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Мазут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57331,884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60758,192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58918,6121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58918,6121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58918,6121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58918,6121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54372,3908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54372,3908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54372,3908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54372,3908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54372,3908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54372,3908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deeaf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ЕТО-2 ПАО «ТГК-1»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2183,126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524,37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524,37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524,37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524,37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524,37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524,37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Электроэнергия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1144,7735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1144,7735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1144,7735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1144,7735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1144,7735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1144,7735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362,81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362,81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362,81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362,81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362,81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362,81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Дрова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Электроэнергия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кВт*ч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Дрова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367,508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591,5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591,5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591,5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591,5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591,5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591,5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Электроэнергия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217,3795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217,3795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217,3795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217,3795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217,3795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217,3795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Дрова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69,16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Электроэнергия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кВт*ч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Дрова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выработано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2550,634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2863,0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Электроэнергия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2550,634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2863,0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расход топлива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1500,473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1362,153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1362,153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1362,153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1362,153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1362,153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Электроэнергия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1362,153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1362,153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1362,153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1362,153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1362,153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1362,153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452,05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Дрова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расход топлива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Электроэнергия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кВт*ч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391,72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391,72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391,72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391,72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391,72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391,72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Дрова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0,001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deeaf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ЕТО-3 ООО «ПромВоенСтрой»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5328,23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5500,1025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5500,1025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5286,944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200,44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235,37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235,37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1068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1294,57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1294,57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1043,51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1043,51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1043,51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1043,51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1043,51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1043,51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817,7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817,7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817,7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1773,39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1773,39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1429,47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1429,47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1429,47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1429,47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1429,47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1429,47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708,58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708,58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708,58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7524,52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7543,554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7543,554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7228,9404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218,34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224,45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224,45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1642,88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1693,18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1693,18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1290,81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1290,81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1290,81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1290,81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1290,81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1290,81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1118,03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1118,03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1118,03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2190,5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2319,42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2319,42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1768,23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1768,23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1768,23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1768,23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1768,23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1768,23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992,88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992,88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992,88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17103,28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17132,6091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17132,6091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15975,6098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15975,6098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15975,6098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15975,6098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15975,6098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15975,6098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15975,6098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15975,6098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15975,6098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193,32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285,15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211,58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211,58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211,58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3306,375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4885,33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4885,33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3380,16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2470,86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2470,86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2470,86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4408,5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6692,24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6692,24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4630,36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4630,36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4630,36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4630,36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4630,36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4630,36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2141,12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2141,12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2141,12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8050,73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8059,0285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8059,0285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7847,9197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7847,9197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7847,9197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7847,9197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7847,9197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7847,9197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7847,9197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7847,9197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7847,9197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204,07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224,2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224,2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1642,88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1401,34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1401,34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1401,34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1401,34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1401,34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1401,34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1213,79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1213,79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1213,79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2190,5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2475,11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2475,11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1919,64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1919,64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1919,64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1919,64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1919,64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1919,64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1051,81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1051,81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1051,81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5277,16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1370,625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1827,5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726,44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4578,999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4586,4931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305,28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256,59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256,59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256,59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256,59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256,59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1397,8725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1176,83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1176,83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1176,83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1176,83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1176,83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709,37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709,37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709,37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709,37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709,37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709,37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1863,83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1612,1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1612,1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1612,1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1612,1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1612,1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614,7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614,7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614,7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614,7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614,7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614,7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6315,116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6383,2753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6383,2753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6383,2753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6383,2753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6383,2753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6383,2753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6383,2753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6383,2753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6383,2753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6383,2753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6383,2753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245,75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245,75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245,75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245,75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245,75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1240,5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1589,71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1589,71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1589,71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1589,71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1589,71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987,26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987,26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987,26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987,26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987,26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987,26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2177,69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2177,69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2177,69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2177,69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2177,69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855,52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855,52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855,52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855,52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855,52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855,52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№15/176 н.п. Луостари (в.г. №15)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4664,901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4704,1402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201,64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940,6275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1175,99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1175,99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1175,99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1175,99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1175,99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727,56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727,56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727,56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727,56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727,56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727,56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1254,17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1610,94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1610,94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1610,94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1610,94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1610,94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630,47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630,47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630,47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630,47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630,47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630,47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№5/106 н.п. Луостари (в.г. №5)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6448,178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6468,9486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6468,9486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6468,9486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6468,9486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6468,9486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6468,9486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6468,9486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6468,9486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6468,9486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6468,9486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6468,9486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281,95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1780,575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1572,21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1572,21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1572,21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1572,21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1572,21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1000,52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1000,52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1000,52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1000,52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1000,52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1000,52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2374,1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2153,71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2153,71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2153,71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2153,71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2153,71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выработано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65291,114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65798,3193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65798,3193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65291,114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65798,3193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65798,3193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63902,439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41759,5818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41759,5818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41759,5818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5420,1679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22142,8572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22142,8572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22142,8572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58482,2711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58482,2711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63902,44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14390,335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16265,67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16265,67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13701,58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13701,58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13701,58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8186,84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8186,84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8186,84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1071,02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3424,71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3424,71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3424,71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9045,09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9045,09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9883,4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расход топлива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19187,1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22281,75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22281,75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18769,29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18769,29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18769,29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11214,85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11214,85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11214,85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1467,15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2967,69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2967,69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2967,69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7862,08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7862,08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8588,52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deeaf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ЕТО-4 ООО «Теплонорд»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2294,5399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338,64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777,012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777,012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777,012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777,012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777,012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777,012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354,87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354,87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354,87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354,87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354,87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354,87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1064,4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1064,4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1064,4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1064,4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1064,4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1064,4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314,05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895,3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268,713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268,713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268,713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268,713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268,713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268,713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122,54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122,54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122,54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122,54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122,54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122,54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№4/115 ж/д ст. Печенга (19 км) (в.г. №4)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1410,05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399,57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399,57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399,57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399,57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399,57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399,57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563,414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563,414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563,414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563,414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563,414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563,414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218,08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218,08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218,08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218,08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218,08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218,08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771,8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771,8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771,8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771,8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771,8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771,8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192,99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№4/179 ж/д ст. Печенга (19 км) (в.г. №4)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260,14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368,46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95,849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95,849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95,849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95,849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95,849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95,849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131,3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131,3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131,3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131,3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131,3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131,3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620,65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223,358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223,358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223,358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223,358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223,358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223,358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138,627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138,627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138,627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138,627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138,627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138,627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выработано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5480,6799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расход топлива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1843,615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847,64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расход топлива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2525,5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2525,5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2525,5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2525,5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2525,5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2525,5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750,13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deeaf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ЕТО-5 ФГБУ «ЦЖКУ» МО РФ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532,7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№25/52 пгт. Печенга (в.г. №25)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30,7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№18/65 пгт. Печенга (в.г. №18)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1712,0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427,1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427,1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427,1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427,1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427,1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427,1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264,78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264,78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264,78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264,78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264,78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264,78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556,2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229,44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№13/66 пгт. Печенга (в.г. №13)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514,0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134,8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134,8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134,8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134,8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134,8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134,8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№69/6 н.п. Вайда-Губа (в.г. №69)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1208,0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267,3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267,3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267,3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267,3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267,3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267,3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322,9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322,9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322,9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322,9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322,9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322,9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420,4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420,4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420,4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420,4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420,4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420,4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161,9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№38/86 пгт. Печенга (в.г. №38)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№21/90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729,0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259,26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97,7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№21/110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7237,0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247,11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247,11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247,11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247,11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247,11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247,11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1788,3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1119,27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1119,27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1119,27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1119,27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1119,27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1119,27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2328,5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2328,5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2328,5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2328,5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2328,5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2328,5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969,91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969,91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969,91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969,91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969,91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969,91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№21/149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210,0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250,48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250,48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250,48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250,48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250,48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250,48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68,4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68,4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68,4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68,4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68,4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68,4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28,14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249,14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129,68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129,68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129,68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129,68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129,68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129,68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112,38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№12/151 н.п. Спутник (в.г. №12)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5,49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№25/46 пгт. Печенга (в.г. №25)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601,0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252,25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151,6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151,6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151,6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151,6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151,6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151,6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197,4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80,55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80,55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80,55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80,55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80,55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80,55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202,0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257,92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154,66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52,1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67,9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67,9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67,9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67,9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67,9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67,9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27,07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27,07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27,07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27,07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27,07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27,07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544,0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5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Котельная №42/188 пгт. Печенга (в.г. №42)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Выработка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УРУТ на выработку тепловой энергии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кг.у.т./Гкал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255,41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Расход топлива: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условного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3.1.1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натурального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3.2.1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выработано ТЭ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2371,0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2371,0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2371,0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2371,0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2371,0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2371,0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15857,5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13486,5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13486,5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13486,5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13486,5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13486,5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13486,5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расход топлива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2626,92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2626,92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2626,92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2626,92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2626,92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2626,92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3990,3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622,2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т.у.т.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2004,72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2004,72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2004,72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2004,72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2004,72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2004,72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e59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Всего расход топлива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e599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9045,9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5045,9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1366,3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810,1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3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из них 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1737,18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1737,18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1737,18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1737,18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1737,18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1737,18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1124"/>
        <w:ind w:firstLine="709"/>
        <w:jc w:val="center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pStyle w:val="728"/>
        <w:rPr>
          <w:rFonts w:cs="Times New Roman"/>
          <w:lang w:eastAsia="ru-RU"/>
        </w:rPr>
        <w:sectPr>
          <w:footnotePr/>
          <w:endnotePr/>
          <w:type w:val="nextPage"/>
          <w:pgSz w:w="23811" w:h="16838" w:orient="landscape"/>
          <w:pgMar w:top="1134" w:right="850" w:bottom="1134" w:left="2127" w:header="708" w:footer="708" w:gutter="0"/>
          <w:cols w:num="1" w:sep="0" w:space="708" w:equalWidth="1"/>
          <w:docGrid w:linePitch="360"/>
        </w:sect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272" w:name="_Toc204085757"/>
      <w:r>
        <w:t xml:space="preserve">Часть 2. РЕЗУЛЬТАТЫ РАСЧЕТОВ ПО КАЖДОМУ ИСТОЧНИКУ ТЕПЛОВОЙ ЭНЕРГИИ НОРМАТИВНЫХ ЗАПАСОВ ТОПЛИВА</w:t>
      </w:r>
      <w:bookmarkEnd w:id="272"/>
      <w:r/>
      <w:r/>
    </w:p>
    <w:p>
      <w:pPr>
        <w:pStyle w:val="1124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pStyle w:val="728"/>
        <w:ind w:firstLine="851"/>
        <w:jc w:val="both"/>
        <w:rPr>
          <w:rFonts w:cs="Times New Roman"/>
        </w:rPr>
      </w:pPr>
      <w:r>
        <w:rPr>
          <w:rFonts w:cs="Times New Roman"/>
        </w:rPr>
        <w:t xml:space="preserve">Нормативные запасы топлива на источнике тепловой энергии в зоне деятельности единой теплоснабжающей организации представлены в таблице ниже.</w:t>
      </w:r>
      <w:r>
        <w:rPr>
          <w:rFonts w:cs="Times New Roman"/>
        </w:rPr>
      </w:r>
    </w:p>
    <w:p>
      <w:pPr>
        <w:pStyle w:val="728"/>
        <w:ind w:firstLine="851"/>
        <w:jc w:val="both"/>
        <w:rPr>
          <w:rFonts w:cs="Times New Roman"/>
        </w:rPr>
      </w:pPr>
      <w:r>
        <w:rPr>
          <w:rFonts w:cs="Times New Roman"/>
        </w:rPr>
        <w:t xml:space="preserve">З</w:t>
      </w:r>
      <w:r>
        <w:rPr>
          <w:rFonts w:cs="Times New Roman"/>
        </w:rPr>
        <w:t xml:space="preserve">начения запасов топлива на источниках тепловой энергии представлены в таблице ниже.</w:t>
      </w:r>
      <w:r>
        <w:rPr>
          <w:rFonts w:cs="Times New Roman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10.2.1 - Нормативные запасы топлива на источнике тепловой энергии в зоне деятельности единой теплоснабжающей организации</w:t>
      </w:r>
      <w:r>
        <w:rPr>
          <w:rFonts w:cs="Times New Roman"/>
        </w:rPr>
      </w:r>
    </w:p>
    <w:tbl>
      <w:tblPr>
        <w:tblW w:w="15324" w:type="dxa"/>
        <w:tblInd w:w="-5" w:type="dxa"/>
        <w:tblLook w:val="04A0" w:firstRow="1" w:lastRow="0" w:firstColumn="1" w:lastColumn="0" w:noHBand="0" w:noVBand="1"/>
      </w:tblPr>
      <w:tblGrid>
        <w:gridCol w:w="1985"/>
        <w:gridCol w:w="1794"/>
        <w:gridCol w:w="1750"/>
        <w:gridCol w:w="615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1330"/>
        <w:gridCol w:w="1276"/>
        <w:gridCol w:w="14"/>
      </w:tblGrid>
      <w:tr>
        <w:tblPrEx/>
        <w:trPr>
          <w:gridAfter w:val="1"/>
          <w:trHeight w:val="510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Категория топлива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Вид топлива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Тип запаса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Ед. изм.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2024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2025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2026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2029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2031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2034-2038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2039-2043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deeaf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ЕТО-1 АО «МЭС»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val="en-US"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Мазут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3296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3296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3296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3296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3296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3296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3986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3986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3986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3986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3986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3986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val="en-US"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Мазут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3535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3535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3535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3535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3535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3535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3638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3638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3638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3638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3638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3638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deeaf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ЕТО-3 ООО «ПромВоенСтрой»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Резервное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Диз. топливо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тнт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Резервное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Диз. топливо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тнт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7,7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val="en-US"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(в.г. №15)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390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450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(в.г. №5)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500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570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deeaf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ЕТО-5 ФГБУ «ЦЖКУ» МО РФ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245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№25/52 пгт.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(в.г. №25)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№18/65 пгт.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(в.г. №18)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224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224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224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224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224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259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259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259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259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259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№13/66 пгт.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(в.г. №13)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№69/6 н.п.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Вайда-Губа (в.г. №69)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158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158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158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158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158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183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№38/86 пгт.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(в.г. №38)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№21/90 пгт.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949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949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949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949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949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148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148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148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148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148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1097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1097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1097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1097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1097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(в.г. №12)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№25)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91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31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71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82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17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24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(в.г. №42)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Основное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т.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НЗВТ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НЭЗТ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ОНЗТ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</w:tbl>
    <w:p>
      <w:pPr>
        <w:pStyle w:val="728"/>
        <w:ind w:firstLine="709"/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rPr>
          <w:rFonts w:cs="Times New Roman"/>
        </w:rPr>
        <w:sectPr>
          <w:footnotePr/>
          <w:endnotePr/>
          <w:type w:val="nextPage"/>
          <w:pgSz w:w="16838" w:h="11906" w:orient="landscape"/>
          <w:pgMar w:top="1134" w:right="850" w:bottom="1134" w:left="567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  <w:rPr>
          <w:sz w:val="28"/>
          <w:szCs w:val="28"/>
        </w:rPr>
      </w:pPr>
      <w:r/>
      <w:bookmarkStart w:id="273" w:name="_Toc204085758"/>
      <w:r>
        <w:t xml:space="preserve">Часть 3. ВИД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  <w:bookmarkEnd w:id="273"/>
      <w:r/>
      <w:r>
        <w:rPr>
          <w:sz w:val="28"/>
          <w:szCs w:val="28"/>
        </w:rPr>
      </w:r>
    </w:p>
    <w:p>
      <w:pPr>
        <w:pStyle w:val="728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851"/>
        <w:jc w:val="both"/>
        <w:rPr>
          <w:rFonts w:cs="Times New Roman"/>
        </w:rPr>
      </w:pPr>
      <w:r/>
      <w:bookmarkStart w:id="274" w:name="_Hlk204008606"/>
      <w:r>
        <w:rPr>
          <w:rFonts w:cs="Times New Roman"/>
        </w:rPr>
        <w:t xml:space="preserve">В качестве основного вида топлива на котельных округа используются мазут, каменный уголь, электроэнергия.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Style w:val="1127"/>
          <w:rFonts w:cs="Times New Roman"/>
          <w:b w:val="0"/>
          <w:bCs/>
        </w:rPr>
      </w:pPr>
      <w:r>
        <w:rPr>
          <w:rStyle w:val="1127"/>
          <w:rFonts w:cs="Times New Roman"/>
          <w:b w:val="0"/>
          <w:bCs/>
        </w:rPr>
        <w:t xml:space="preserve">Возобновляемые источники энергии и местные виды топлива в процессе выработки электрической и тепловой энергии не используются.</w:t>
      </w:r>
      <w:bookmarkEnd w:id="274"/>
      <w:r>
        <w:rPr>
          <w:rStyle w:val="1127"/>
          <w:rFonts w:cs="Times New Roman"/>
          <w:b w:val="0"/>
          <w:bCs/>
        </w:rPr>
      </w:r>
    </w:p>
    <w:p>
      <w:pPr>
        <w:pStyle w:val="728"/>
        <w:ind w:firstLine="709"/>
        <w:jc w:val="both"/>
        <w:rPr>
          <w:rStyle w:val="1127"/>
          <w:rFonts w:cs="Times New Roman"/>
          <w:b w:val="0"/>
          <w:bCs/>
        </w:rPr>
      </w:pPr>
      <w:r>
        <w:rPr>
          <w:rFonts w:cs="Times New Roman"/>
          <w:b w:val="0"/>
          <w:bCs/>
        </w:rPr>
      </w:r>
      <w:r>
        <w:rPr>
          <w:rStyle w:val="1127"/>
          <w:rFonts w:cs="Times New Roman"/>
          <w:b w:val="0"/>
          <w:bCs/>
        </w:rPr>
      </w:r>
    </w:p>
    <w:p>
      <w:pPr>
        <w:pStyle w:val="717"/>
        <w:ind w:left="0" w:firstLine="0"/>
        <w:spacing w:after="240"/>
        <w:rPr>
          <w:szCs w:val="22"/>
        </w:rPr>
      </w:pPr>
      <w:r/>
      <w:bookmarkStart w:id="275" w:name="_Toc45625266"/>
      <w:r/>
      <w:bookmarkStart w:id="276" w:name="_Toc204085759"/>
      <w:r>
        <w:t xml:space="preserve">Часть 4. ВИД ТОПЛИВА (В СЛУЧАЕ, ЕСЛИ ТОПЛИВОМ ЯВЛЯЕТСЯ УГОЛЬ, - ВИД ИСКОПАЕМОГО УГЛЯ В СООТВЕТСТВИИ С МЕЖГОСУДАРСТВЕННЫМ СТАНДАРТОМ </w:t>
      </w:r>
      <w:hyperlink r:id="rId119" w:tooltip="http://internet.garant.ru/document/redirect/71274648/0" w:history="1">
        <w:r>
          <w:rPr>
            <w:rStyle w:val="1146"/>
          </w:rPr>
          <w:t xml:space="preserve">ГОСТ 25543-2013</w:t>
        </w:r>
      </w:hyperlink>
      <w:r>
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</w:r>
      <w:bookmarkEnd w:id="275"/>
      <w:r/>
      <w:bookmarkEnd w:id="276"/>
      <w:r/>
      <w:r>
        <w:rPr>
          <w:szCs w:val="22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Поставщики топлива на источники тепловой энергии определяются результатами конкурсных процедур. Основным критерием выбора поставщика является цена топлива, а затем только оцениваются его характеристики. </w:t>
      </w:r>
      <w:r>
        <w:rPr>
          <w:rFonts w:cs="Times New Roman"/>
          <w:szCs w:val="24"/>
        </w:rPr>
      </w:r>
    </w:p>
    <w:p>
      <w:pPr>
        <w:ind w:firstLine="709"/>
        <w:jc w:val="both"/>
        <w:tabs>
          <w:tab w:val="left" w:pos="954" w:leader="none"/>
        </w:tabs>
        <w:rPr>
          <w:rFonts w:cs="Times New Roman"/>
          <w:szCs w:val="24"/>
        </w:rPr>
      </w:pPr>
      <w:r/>
      <w:bookmarkStart w:id="277" w:name="_Hlk204008969"/>
      <w:r>
        <w:rPr>
          <w:rFonts w:cs="Times New Roman"/>
          <w:szCs w:val="24"/>
        </w:rPr>
        <w:t xml:space="preserve">Характеристика используемых видов топлива (согласно сертификатам качества), включая значения низшей теплоты сгорания топлива, приведены в таблицах ниже.</w:t>
      </w:r>
      <w:r>
        <w:rPr>
          <w:rFonts w:cs="Times New Roman"/>
          <w:szCs w:val="24"/>
        </w:rPr>
      </w:r>
    </w:p>
    <w:p>
      <w:pPr>
        <w:ind w:firstLine="709"/>
        <w:jc w:val="both"/>
        <w:tabs>
          <w:tab w:val="left" w:pos="954" w:leader="none"/>
        </w:tabs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p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Таблица 10.4.1 - Особенности характеристик топлива, поставляемого на источники тепла АО «МЭС» (мазут марки М-100)</w:t>
      </w:r>
      <w:r>
        <w:rPr>
          <w:rFonts w:cs="Times New Roman"/>
          <w:b/>
          <w:szCs w:val="24"/>
        </w:rPr>
      </w:r>
    </w:p>
    <w:tbl>
      <w:tblPr>
        <w:tblW w:w="961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61"/>
        <w:gridCol w:w="1985"/>
        <w:gridCol w:w="1220"/>
        <w:gridCol w:w="1569"/>
        <w:gridCol w:w="1581"/>
      </w:tblGrid>
      <w:tr>
        <w:tblPrEx/>
        <w:trPr>
          <w:trHeight w:val="1022"/>
          <w:tblHeader/>
        </w:trPr>
        <w:tc>
          <w:tcPr>
            <w:shd w:val="clear" w:color="auto" w:fill="f2f2f2" w:themeFill="background1" w:themeFillShade="F2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Метод испытания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 по ТР ТС 013/2011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 по ГОСТ 10585-2013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Фактическое значение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Вязкость условная при 100 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С, градусы ВУ, не более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6258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Зольность, %, не более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1461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0,138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Массовая доля механических примесей, %, не более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6370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Массовая доля воды, %, не более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2477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Содержание водорастворимых кислот и щелочей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6307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отсутствие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отс.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Массовая доля серы, %, не более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ISO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8754:2013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Содержание сероводорода,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 ррт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(мг/кг), не более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Р 53716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Температура вспышки, 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С, не ниже: в открытом тигле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4333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Температура застывания, 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С, не выше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20287 (метод Б)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900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Теплота сгорания (низшая) в пересчёте на сухое топливо, кДж/кг, не менее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21261-91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39900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39900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035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Плотность при 15 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С, кг/м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ISO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3675:2014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нормируется, определение обязательно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1020,5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45"/>
        </w:trPr>
        <w:tc>
          <w:tcPr>
            <w:shd w:val="clear" w:color="auto" w:fill="auto"/>
            <w:tcW w:w="3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Выход фракции, выкипающей до 350 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С, % об., не более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ГОСТ 33359-2015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45"/>
        </w:trPr>
        <w:tc>
          <w:tcPr>
            <w:gridSpan w:val="5"/>
            <w:shd w:val="clear" w:color="auto" w:fill="auto"/>
            <w:tcW w:w="9616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Примечание: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*Поставщик топлива – Филиал ПАО «Акционерная нефтяная компания «Башнефть» «Башнефть-Уфанефтехим»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right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cs="Times New Roman"/>
          <w:b/>
          <w:szCs w:val="24"/>
        </w:rPr>
      </w:pPr>
      <w:r>
        <w:rPr>
          <w:rFonts w:cs="Times New Roman"/>
          <w:b/>
        </w:rPr>
        <w:t xml:space="preserve">Таблица </w:t>
      </w:r>
      <w:r>
        <w:rPr>
          <w:rFonts w:cs="Times New Roman"/>
          <w:b/>
          <w:szCs w:val="24"/>
        </w:rPr>
        <w:t xml:space="preserve">10.4.2 </w:t>
      </w:r>
      <w:r>
        <w:rPr>
          <w:rFonts w:cs="Times New Roman"/>
          <w:b/>
        </w:rPr>
        <w:t xml:space="preserve">- Особенности характеристик топлива, поставляемого на источники тепла ООО «ПромВоенСтрой», ООО «Теплонорд» (каменный уголь)</w:t>
      </w:r>
      <w:r>
        <w:rPr>
          <w:rFonts w:cs="Times New Roman"/>
          <w:b/>
          <w:szCs w:val="24"/>
        </w:rPr>
      </w:r>
    </w:p>
    <w:tbl>
      <w:tblPr>
        <w:tblW w:w="5181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1"/>
        <w:gridCol w:w="3924"/>
        <w:gridCol w:w="2378"/>
        <w:gridCol w:w="2591"/>
      </w:tblGrid>
      <w:tr>
        <w:tblPrEx/>
        <w:trPr>
          <w:trHeight w:val="497"/>
          <w:tblHeader/>
        </w:trPr>
        <w:tc>
          <w:tcPr>
            <w:shd w:val="clear" w:color="auto" w:fill="f2f2f2" w:themeFill="background1" w:themeFillShade="F2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20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Наименование показателя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Ед. измерения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Значение показателя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Зольность угля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%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13,2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pStyle w:val="728"/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Диоксид углерода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%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4,120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Высшая теплота сгорания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ккал/кг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7583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Низшая теплота сгорания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ккал/кг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5178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Влажность на рабочее состояние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%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16,6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Сера общая на сухое состояние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%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0,37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Выход летучих веществ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%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41,9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</w:tbl>
    <w:p>
      <w:pPr>
        <w:rPr>
          <w:rFonts w:cs="Times New Roman"/>
          <w:b/>
        </w:rPr>
      </w:pPr>
      <w:r>
        <w:rPr>
          <w:rFonts w:cs="Times New Roman"/>
          <w:b/>
        </w:rPr>
      </w:r>
      <w:r>
        <w:rPr>
          <w:rFonts w:cs="Times New Roman"/>
          <w:b/>
        </w:rPr>
      </w:r>
    </w:p>
    <w:p>
      <w:pPr>
        <w:rPr>
          <w:rFonts w:cs="Times New Roman"/>
          <w:b/>
          <w:szCs w:val="24"/>
        </w:rPr>
      </w:pPr>
      <w:r>
        <w:rPr>
          <w:rFonts w:cs="Times New Roman"/>
          <w:b/>
        </w:rPr>
        <w:t xml:space="preserve">Таблица </w:t>
      </w:r>
      <w:r>
        <w:rPr>
          <w:rFonts w:cs="Times New Roman"/>
          <w:b/>
          <w:szCs w:val="24"/>
        </w:rPr>
        <w:t xml:space="preserve">10.4.3 </w:t>
      </w:r>
      <w:r>
        <w:rPr>
          <w:rFonts w:cs="Times New Roman"/>
          <w:b/>
        </w:rPr>
        <w:t xml:space="preserve">- Особенности характеристик топлива, поставляемого на источники тепла ФГБУ «ЦЖКУ» МО РФ (каменный уголь)</w:t>
      </w:r>
      <w:r>
        <w:rPr>
          <w:rFonts w:cs="Times New Roman"/>
          <w:b/>
          <w:szCs w:val="24"/>
        </w:rPr>
      </w:r>
    </w:p>
    <w:tbl>
      <w:tblPr>
        <w:tblW w:w="5171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8"/>
        <w:gridCol w:w="3917"/>
        <w:gridCol w:w="2374"/>
        <w:gridCol w:w="2587"/>
      </w:tblGrid>
      <w:tr>
        <w:tblPrEx/>
        <w:trPr>
          <w:trHeight w:val="565"/>
        </w:trPr>
        <w:tc>
          <w:tcPr>
            <w:shd w:val="clear" w:color="auto" w:fill="f2f2f2" w:themeFill="background1" w:themeFillShade="F2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20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Наименование показателя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Ед. измерения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2f2f2" w:themeFill="background1" w:themeFillShade="F2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Значение показателя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90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pStyle w:val="728"/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Общая влага, средняя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%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12,5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90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Общая влага, предельная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%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17,9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Зольность, средняя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%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14,4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90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Зольность, предельная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%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17,4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90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Выход летучих веществ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%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30,1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90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Высшая теплота сгорания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ккал/кг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5440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Низшая теплота сгорания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ккал/кг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5300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ffffff"/>
            <w:tcW w:w="40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8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2026" w:type="pct"/>
            <w:vAlign w:val="center"/>
            <w:textDirection w:val="lrTb"/>
            <w:noWrap w:val="false"/>
          </w:tcPr>
          <w:p>
            <w:pPr>
              <w:ind w:left="92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Сера общая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2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%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  <w:tc>
          <w:tcPr>
            <w:shd w:val="clear" w:color="auto" w:fill="ffffff"/>
            <w:tcW w:w="13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/>
                <w:sz w:val="20"/>
                <w:lang w:eastAsia="ru-RU"/>
              </w:rPr>
              <w:t xml:space="preserve">0,52</w:t>
            </w:r>
            <w:r>
              <w:rPr>
                <w:rFonts w:eastAsia="Times New Roman" w:cs="Times New Roman"/>
                <w:sz w:val="20"/>
                <w:lang w:eastAsia="ru-RU"/>
              </w:rPr>
            </w:r>
          </w:p>
        </w:tc>
      </w:tr>
    </w:tbl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</w:r>
      <w:bookmarkEnd w:id="277"/>
      <w:r>
        <w:rPr>
          <w:rFonts w:cs="Times New Roman"/>
        </w:rPr>
      </w:r>
    </w:p>
    <w:p>
      <w:pPr>
        <w:pStyle w:val="728"/>
        <w:rPr>
          <w:rStyle w:val="1127"/>
          <w:rFonts w:cs="Times New Roman"/>
          <w:b w:val="0"/>
          <w:bCs/>
        </w:rPr>
      </w:pPr>
      <w:r>
        <w:rPr>
          <w:rFonts w:cs="Times New Roman"/>
          <w:b w:val="0"/>
          <w:bCs/>
        </w:rPr>
      </w:r>
      <w:r>
        <w:rPr>
          <w:rStyle w:val="1127"/>
          <w:rFonts w:cs="Times New Roman"/>
          <w:b w:val="0"/>
          <w:bCs/>
        </w:rPr>
      </w:r>
    </w:p>
    <w:p>
      <w:pPr>
        <w:pStyle w:val="717"/>
        <w:ind w:left="0" w:firstLine="0"/>
      </w:pPr>
      <w:r/>
      <w:bookmarkStart w:id="278" w:name="_Toc204085760"/>
      <w:r>
        <w:t xml:space="preserve">Часть 5. ПРЕОБЛАДАЮЩИЙ В ПОСЕЛЕНИИ, ГОРОДСКОМ ОКРУГЕ ВИД ТОПЛИВА, ОПРЕДЕЛЯЕМЫЙ ПО СОВОКУПНОСТИ ВСЕХ СИСТЕМ ТЕПЛОСНАБЖЕНИЯ, НАХОДЯЩИХСЯ В СООТВЕТСВУЮЩЕМ ПОСЕЛЕНИИ, ГОРОДСКОМ ОКРУГЕ</w:t>
      </w:r>
      <w:bookmarkEnd w:id="278"/>
      <w:r/>
      <w:r/>
    </w:p>
    <w:p>
      <w:pPr>
        <w:pStyle w:val="728"/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p>
      <w:pPr>
        <w:pStyle w:val="728"/>
        <w:ind w:firstLine="709"/>
        <w:jc w:val="both"/>
        <w:rPr>
          <w:rFonts w:cs="Times New Roman"/>
          <w:szCs w:val="24"/>
          <w:lang w:eastAsia="ru-RU"/>
        </w:rPr>
      </w:pPr>
      <w:r/>
      <w:bookmarkStart w:id="279" w:name="_Hlk204009499"/>
      <w:r>
        <w:rPr>
          <w:rFonts w:cs="Times New Roman"/>
          <w:szCs w:val="24"/>
        </w:rPr>
        <w:t xml:space="preserve">Преобладающий вид топлива в общем топливном балансе</w:t>
      </w:r>
      <w:bookmarkEnd w:id="279"/>
      <w:r>
        <w:rPr>
          <w:rFonts w:cs="Times New Roman"/>
          <w:szCs w:val="24"/>
        </w:rPr>
        <w:t xml:space="preserve"> в муниципального образования представлен в таблице 10.5.1.</w:t>
      </w:r>
      <w:r>
        <w:rPr>
          <w:rFonts w:cs="Times New Roman"/>
          <w:szCs w:val="24"/>
          <w:lang w:eastAsia="ru-RU"/>
        </w:rPr>
      </w:r>
    </w:p>
    <w:p>
      <w:pPr>
        <w:pStyle w:val="728"/>
        <w:rPr>
          <w:rStyle w:val="1127"/>
          <w:rFonts w:cs="Times New Roman"/>
          <w:b w:val="0"/>
          <w:color w:val="auto"/>
        </w:rPr>
      </w:pPr>
      <w:r>
        <w:rPr>
          <w:rFonts w:cs="Times New Roman"/>
          <w:b w:val="0"/>
          <w:color w:val="auto"/>
        </w:rPr>
      </w:r>
      <w:r>
        <w:rPr>
          <w:rStyle w:val="1127"/>
          <w:rFonts w:cs="Times New Roman"/>
          <w:b w:val="0"/>
          <w:color w:val="auto"/>
        </w:rPr>
      </w:r>
    </w:p>
    <w:p>
      <w:pPr>
        <w:pStyle w:val="728"/>
        <w:rPr>
          <w:rStyle w:val="1127"/>
          <w:rFonts w:cs="Times New Roman"/>
          <w:b w:val="0"/>
          <w:color w:val="auto"/>
        </w:rPr>
      </w:pPr>
      <w:r>
        <w:rPr>
          <w:rFonts w:cs="Times New Roman"/>
          <w:b w:val="0"/>
          <w:color w:val="auto"/>
        </w:rPr>
      </w:r>
      <w:r>
        <w:rPr>
          <w:rStyle w:val="1127"/>
          <w:rFonts w:cs="Times New Roman"/>
          <w:b w:val="0"/>
          <w:color w:val="auto"/>
        </w:rPr>
      </w:r>
    </w:p>
    <w:p>
      <w:pPr>
        <w:pStyle w:val="728"/>
        <w:rPr>
          <w:rStyle w:val="1127"/>
          <w:rFonts w:cs="Times New Roman"/>
          <w:b w:val="0"/>
          <w:color w:val="auto"/>
        </w:rPr>
      </w:pPr>
      <w:r>
        <w:rPr>
          <w:rFonts w:cs="Times New Roman"/>
          <w:b w:val="0"/>
          <w:color w:val="auto"/>
        </w:rPr>
      </w:r>
      <w:r>
        <w:rPr>
          <w:rStyle w:val="1127"/>
          <w:rFonts w:cs="Times New Roman"/>
          <w:b w:val="0"/>
          <w:color w:val="auto"/>
        </w:rPr>
      </w:r>
    </w:p>
    <w:p>
      <w:pPr>
        <w:spacing w:before="400" w:after="200"/>
        <w:rPr>
          <w:rFonts w:cs="Times New Roman"/>
        </w:rPr>
      </w:pPr>
      <w:r/>
      <w:bookmarkStart w:id="280" w:name="_Hlk204009356"/>
      <w:r>
        <w:rPr>
          <w:rFonts w:cs="Times New Roman"/>
          <w:b/>
        </w:rPr>
        <w:t xml:space="preserve">Таблица 10.5.1 - Доля видов топлива в общем топливном балансе в МО, %</w:t>
      </w:r>
      <w:r>
        <w:rPr>
          <w:rFonts w:cs="Times New Roman"/>
        </w:rPr>
      </w:r>
    </w:p>
    <w:tbl>
      <w:tblPr>
        <w:tblW w:w="8608" w:type="dxa"/>
        <w:tblInd w:w="-5" w:type="dxa"/>
        <w:tblLook w:val="04A0" w:firstRow="1" w:lastRow="0" w:firstColumn="1" w:lastColumn="0" w:noHBand="0" w:noVBand="1"/>
      </w:tblPr>
      <w:tblGrid>
        <w:gridCol w:w="1779"/>
        <w:gridCol w:w="1411"/>
        <w:gridCol w:w="2349"/>
        <w:gridCol w:w="1215"/>
        <w:gridCol w:w="1854"/>
      </w:tblGrid>
      <w:tr>
        <w:tblPrEx/>
        <w:trPr>
          <w:trHeight w:val="491"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Год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мазут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электроэнергия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2024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78,24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1,50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20,26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</w:t>
            </w:r>
            <w:r>
              <w:rPr>
                <w:rFonts w:cs="Times New Roman"/>
                <w:color w:val="000000"/>
                <w:sz w:val="22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2025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77,89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1,28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20,83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</w:t>
            </w:r>
            <w:r>
              <w:rPr>
                <w:rFonts w:cs="Times New Roman"/>
                <w:color w:val="000000"/>
                <w:sz w:val="22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2026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77,35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1,31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21,33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</w:t>
            </w:r>
            <w:r>
              <w:rPr>
                <w:rFonts w:cs="Times New Roman"/>
                <w:color w:val="000000"/>
                <w:sz w:val="22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2027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79,31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1,35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19,34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</w:t>
            </w:r>
            <w:r>
              <w:rPr>
                <w:rFonts w:cs="Times New Roman"/>
                <w:color w:val="000000"/>
                <w:sz w:val="22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2028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79,31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1,35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19,34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</w:t>
            </w:r>
            <w:r>
              <w:rPr>
                <w:rFonts w:cs="Times New Roman"/>
                <w:color w:val="000000"/>
                <w:sz w:val="22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2029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79,31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1,35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19,34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</w:t>
            </w:r>
            <w:r>
              <w:rPr>
                <w:rFonts w:cs="Times New Roman"/>
                <w:color w:val="000000"/>
                <w:sz w:val="22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2030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11,25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88,75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2031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11,25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88,75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2032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11,25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88,75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2033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2,21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97,79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2034-2038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2,21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97,79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2039-2043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0,00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0,81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>
              <w:rPr>
                <w:rFonts w:cs="Times New Roman"/>
                <w:b/>
                <w:color w:val="000000"/>
                <w:sz w:val="22"/>
              </w:rPr>
              <w:t xml:space="preserve">99,19</w:t>
            </w:r>
            <w:r>
              <w:rPr>
                <w:rFonts w:cs="Times New Roman"/>
                <w:b/>
                <w:color w:val="000000"/>
                <w:sz w:val="22"/>
              </w:rPr>
            </w:r>
          </w:p>
        </w:tc>
      </w:tr>
    </w:tbl>
    <w:p>
      <w:pPr>
        <w:pStyle w:val="728"/>
        <w:rPr>
          <w:rStyle w:val="1127"/>
          <w:rFonts w:cs="Times New Roman"/>
          <w:b w:val="0"/>
          <w:color w:val="auto"/>
        </w:rPr>
      </w:pPr>
      <w:r>
        <w:rPr>
          <w:rFonts w:cs="Times New Roman"/>
          <w:b w:val="0"/>
          <w:color w:val="auto"/>
        </w:rPr>
      </w:r>
      <w:bookmarkEnd w:id="280"/>
      <w:r>
        <w:rPr>
          <w:rStyle w:val="1127"/>
          <w:rFonts w:cs="Times New Roman"/>
          <w:b w:val="0"/>
          <w:color w:val="auto"/>
        </w:rPr>
      </w:r>
    </w:p>
    <w:p>
      <w:pPr>
        <w:pStyle w:val="728"/>
        <w:rPr>
          <w:rStyle w:val="1127"/>
          <w:rFonts w:cs="Times New Roman"/>
          <w:b w:val="0"/>
          <w:color w:val="auto"/>
        </w:rPr>
      </w:pPr>
      <w:r>
        <w:rPr>
          <w:rFonts w:cs="Times New Roman"/>
          <w:b w:val="0"/>
          <w:color w:val="auto"/>
        </w:rPr>
      </w:r>
      <w:r>
        <w:rPr>
          <w:rStyle w:val="1127"/>
          <w:rFonts w:cs="Times New Roman"/>
          <w:b w:val="0"/>
          <w:color w:val="auto"/>
        </w:rPr>
      </w:r>
    </w:p>
    <w:p>
      <w:pPr>
        <w:pStyle w:val="717"/>
        <w:ind w:left="0" w:firstLine="0"/>
      </w:pPr>
      <w:r/>
      <w:hyperlink r:id="rId120" w:tooltip="file:///D:\Source\Ses\Docs\Оглавление%20том%202%20%20О.М..docx#bookmark108" w:anchor="bookmark108" w:history="1">
        <w:bookmarkStart w:id="281" w:name="_Toc204085761"/>
        <w:r>
          <w:t xml:space="preserve">Часть 6. ПРИОРИТЕТНОЕ</w:t>
        </w:r>
      </w:hyperlink>
      <w:r>
        <w:t xml:space="preserve"> НАПРАВЛЕНИЕ РАЗВИИЯ ТОПЛИВНОГО БАЛАНСА ПОСЕЛЕНИЯ, ГОРОДСКОГО ОКРУГА</w:t>
      </w:r>
      <w:bookmarkEnd w:id="281"/>
      <w:r/>
      <w:r/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/>
      <w:bookmarkStart w:id="282" w:name="_Hlk204063755"/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"Заполярный"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ЭЦ-2 пгт. Никель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Электрокотельная "К-15" нп. Раякоски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Электрокотельная "М-4" нп. Раякоски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 13/55 пгт. Печенга, ш. Печенгское (в.г. №13) с 2033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 13/73 пгт. Печенга, ул. Стадионная (в.г. №13) с 2033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 42/138 нп. Спутник (в.г. №42) с 2033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 4/152 ж/д ст. Печенга (в.г. №4) с 2033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 3 нп. Лиинахамари с 2038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 15/146 нп. Луостари, ул. Верхняя (в.г. №15)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 5/149 нп. Луостари, ул. Нижняя (в.г. №5)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№15/176 н.п. Луостари (в.г. №15)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№5/106 н.п. Луостари (в.г. №5)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№25/52 пгт. Печенга (в.г. №25)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№18/65 пгт. Печенга (в.г. №18)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№13/66 пгт. Печенга (в.г. №13)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№69/6 н.п. Вайда-Губа (в.г. №69)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№21/90 пгт. Печенга (в.г. №21)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№21/110 пгт. Печенга (в.г. №21)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№21/149 пгт. Печенга (в.г. №21)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№12/150 н.п. Спутник (в.г. №12)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№12/151 н.п. Спутник (в.г. №12)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№25/46 пгт. Печенга (в.г. №25) с 2030 года, планируется переход на природный газ.</w:t>
      </w:r>
      <w:r>
        <w:rPr>
          <w:rFonts w:eastAsia="Times New Roman" w:cs="Times New Roman"/>
          <w:color w:val="000000"/>
          <w:lang w:eastAsia="ru-RU"/>
        </w:rPr>
      </w:r>
    </w:p>
    <w:p>
      <w:pPr>
        <w:pStyle w:val="728"/>
        <w:ind w:firstLine="709"/>
        <w:jc w:val="both"/>
        <w:rPr>
          <w:rFonts w:cs="Times New Roman"/>
          <w:sz w:val="28"/>
        </w:rPr>
      </w:pPr>
      <w:r>
        <w:rPr>
          <w:rFonts w:eastAsia="Times New Roman" w:cs="Times New Roman"/>
          <w:color w:val="000000"/>
          <w:lang w:eastAsia="ru-RU"/>
        </w:rPr>
        <w:t xml:space="preserve">На источнике тепловой энергии Котельная №21/172 пгт. Печенга (в.г. №21) с 2030 года, планируется переход на природный газ.</w:t>
      </w:r>
      <w:bookmarkEnd w:id="282"/>
      <w:r>
        <w:rPr>
          <w:rFonts w:cs="Times New Roman"/>
          <w:sz w:val="28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283" w:name="_Toc204085762"/>
      <w:r>
        <w:t xml:space="preserve">Часть 7. </w:t>
      </w:r>
      <w:bookmarkStart w:id="284" w:name="OLE_LINK304"/>
      <w:r/>
      <w:bookmarkStart w:id="285" w:name="OLE_LINK305"/>
      <w:r/>
      <w:bookmarkStart w:id="286" w:name="OLE_LINK306"/>
      <w:r>
        <w:t xml:space="preserve">ОПИСАНИЕ ИЗМЕНЕНИЙ В ПЕРСПЕКТИВНЫХ ТОПЛИВНЫХ БАЛАНСАХ</w:t>
      </w:r>
      <w:bookmarkEnd w:id="284"/>
      <w:r/>
      <w:bookmarkEnd w:id="285"/>
      <w:r/>
      <w:bookmarkEnd w:id="286"/>
      <w:r>
        <w:t xml:space="preserve">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</w:r>
      <w:bookmarkEnd w:id="283"/>
      <w:r/>
      <w:r/>
    </w:p>
    <w:p>
      <w:pPr>
        <w:pStyle w:val="728"/>
        <w:rPr>
          <w:rStyle w:val="1127"/>
          <w:rFonts w:cs="Times New Roman"/>
          <w:b w:val="0"/>
          <w:color w:val="auto"/>
        </w:rPr>
      </w:pPr>
      <w:r>
        <w:rPr>
          <w:rFonts w:cs="Times New Roman"/>
          <w:b w:val="0"/>
          <w:color w:val="auto"/>
        </w:rPr>
      </w:r>
      <w:r>
        <w:rPr>
          <w:rStyle w:val="1127"/>
          <w:rFonts w:cs="Times New Roman"/>
          <w:b w:val="0"/>
          <w:color w:val="auto"/>
        </w:rPr>
      </w:r>
    </w:p>
    <w:p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Описание изменений перспективных топливных балансах за период, предшествующий актуализации схемы теплоснабжения представлен в таблице ниже.</w:t>
      </w:r>
      <w:r>
        <w:rPr>
          <w:rFonts w:cs="Times New Roman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10.7.1 - Изменения в перспективных топливных балансах</w:t>
      </w:r>
      <w:r>
        <w:rPr>
          <w:rFonts w:cs="Times New Roman"/>
        </w:rPr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3730"/>
        <w:gridCol w:w="1806"/>
        <w:gridCol w:w="1939"/>
        <w:gridCol w:w="1739"/>
      </w:tblGrid>
      <w:tr>
        <w:tblPrEx/>
        <w:trPr>
          <w:trHeight w:val="600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val="en-US" w:eastAsia="ru-RU"/>
              </w:rPr>
              <w:t xml:space="preserve">Источник тепловой энергии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val="en-US" w:eastAsia="ru-RU"/>
              </w:rPr>
              <w:t xml:space="preserve">Вид топлива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gridSpan w:val="2"/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Перспективное потребление топлива (2043г.), т.у.т.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90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val="en-US" w:eastAsia="ru-RU"/>
              </w:rPr>
              <w:t xml:space="preserve">Предшествующий актуализации схемы теплоснабжения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val="en-US" w:eastAsia="ru-RU"/>
              </w:rPr>
              <w:t xml:space="preserve">На момент актуализации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4"/>
            <w:shd w:val="clear" w:color="000000" w:fill="deeaf6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ЕТО-1 АО «МЭС»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Мазут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34472,93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37784,23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Мазут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24458,17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24961,51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66"/>
        </w:trPr>
        <w:tc>
          <w:tcPr>
            <w:gridSpan w:val="4"/>
            <w:shd w:val="clear" w:color="000000" w:fill="deeaf6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ЕТО-2 ПАО «ТГК-1»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Электроэнергия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373,47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362,81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Электроэнергия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228,7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89,24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4"/>
            <w:shd w:val="clear" w:color="000000" w:fill="deeaf6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ЕТО-3 ООО «ПромВоенСтрой»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/>
            <w:bookmarkStart w:id="287" w:name="_Hlk176867141"/>
            <w:r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857,2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817,7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1118,03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2449,1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2470,86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1187,1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1213,79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885,7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838,31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732,3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709,37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997,8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987,26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№15)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793,1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727,56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1085,8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1000,52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4"/>
            <w:shd w:val="clear" w:color="000000" w:fill="deeaf6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ЕТО-4 ООО «Теплонорд»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352,8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354,87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113,0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138,47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215,5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218,08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32,4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40,23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119,9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95,99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4"/>
            <w:shd w:val="clear" w:color="000000" w:fill="deeaf6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ЕТО-5 ФГБУ «ЦЖКУ» МО РФ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409,1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№25/52 пгт.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№25)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18,13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18,56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№18/65 пгт.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№18)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264,76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264,78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№13/66 пгт.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№13)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77,4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9,84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№69/6 н.п.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Вайда-Губа (в.г. №69)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181,39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186,83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№38/86 пгт.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№38)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55,9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№21/90 пгт.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110,82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112,75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1141,44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1119,27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31,37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32,48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126,58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129,68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№12)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6,02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6,34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№25)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88,14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92,95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Природный газ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30,51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31,24</w:t>
            </w:r>
            <w:bookmarkEnd w:id="287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138,3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3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(в.г. №42)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Уголь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18,9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728"/>
        <w:rPr>
          <w:rStyle w:val="1127"/>
          <w:rFonts w:cs="Times New Roman"/>
          <w:b w:val="0"/>
          <w:color w:val="auto"/>
        </w:rPr>
      </w:pPr>
      <w:r>
        <w:rPr>
          <w:rFonts w:cs="Times New Roman"/>
          <w:b w:val="0"/>
          <w:color w:val="auto"/>
        </w:rPr>
      </w:r>
      <w:r>
        <w:rPr>
          <w:rStyle w:val="1127"/>
          <w:rFonts w:cs="Times New Roman"/>
          <w:b w:val="0"/>
          <w:color w:val="auto"/>
        </w:rPr>
      </w:r>
    </w:p>
    <w:p>
      <w:pPr>
        <w:pStyle w:val="717"/>
        <w:ind w:left="0" w:firstLine="0"/>
        <w:rPr>
          <w:sz w:val="28"/>
          <w:szCs w:val="28"/>
        </w:rPr>
      </w:pPr>
      <w:r/>
      <w:hyperlink r:id="rId121" w:tooltip="file:///D:\Source\Ses\Docs\Оглавление%20том%202%20%20О.М..docx#bookmark115" w:anchor="bookmark115" w:history="1">
        <w:bookmarkStart w:id="288" w:name="_Toc30081916"/>
        <w:bookmarkStart w:id="289" w:name="_Toc30085151"/>
        <w:bookmarkStart w:id="290" w:name="_Toc32845464"/>
        <w:bookmarkStart w:id="291" w:name="_Toc204085763"/>
        <w:r>
          <w:rPr>
            <w:sz w:val="28"/>
            <w:szCs w:val="28"/>
          </w:rPr>
          <w:t xml:space="preserve">ГЛАВА 11. ОЦЕНКА НАДЕЖНОСТИ ТЕПЛОСНАБЖЕНИЯ</w:t>
        </w:r>
        <w:bookmarkEnd w:id="288"/>
        <w:bookmarkEnd w:id="289"/>
        <w:bookmarkEnd w:id="290"/>
        <w:bookmarkEnd w:id="291"/>
      </w:hyperlink>
      <w:r/>
      <w:r>
        <w:rPr>
          <w:sz w:val="28"/>
          <w:szCs w:val="28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22" w:tooltip="file:///D:\Source\Ses\Docs\Оглавление%20том%202%20%20О.М..docx#bookmark116" w:anchor="bookmark116" w:history="1">
        <w:bookmarkStart w:id="292" w:name="_Toc30081917"/>
        <w:bookmarkStart w:id="293" w:name="_Toc30085152"/>
        <w:bookmarkStart w:id="294" w:name="_Toc32845465"/>
        <w:bookmarkStart w:id="295" w:name="_Toc204085764"/>
        <w:r>
          <w:t xml:space="preserve">Часть 1. МЕТОДЫ И РЕЗУЛЬТАТЫ ОБРАБОТКИ ДАННЫХ ПО ОТКАЗАМ УЧАСТКОВ</w:t>
        </w:r>
      </w:hyperlink>
      <w:r>
        <w:t xml:space="preserve"> </w:t>
      </w:r>
      <w:hyperlink r:id="rId123" w:tooltip="file:///D:\Source\Ses\Docs\Оглавление%20том%202%20%20О.М..docx#bookmark116" w:anchor="bookmark116" w:history="1">
        <w:r>
          <w:t xml:space="preserve">ТЕПЛОВЫХ</w:t>
        </w:r>
        <w:r>
          <w:t xml:space="preserve"> </w:t>
        </w:r>
        <w:r>
          <w:t xml:space="preserve">СЕТЕЙ</w:t>
        </w:r>
        <w:r>
          <w:t xml:space="preserve"> </w:t>
        </w:r>
        <w:r>
          <w:t xml:space="preserve">(АВАРИЙНЫМ</w:t>
        </w:r>
        <w:r>
          <w:t xml:space="preserve"> </w:t>
        </w:r>
        <w:r>
          <w:t xml:space="preserve">СИТУАЦИЯМ),</w:t>
        </w:r>
        <w:r>
          <w:t xml:space="preserve"> </w:t>
        </w:r>
        <w:r>
          <w:t xml:space="preserve">СРЕДНЕЙ</w:t>
        </w:r>
        <w:r>
          <w:t xml:space="preserve"> </w:t>
        </w:r>
        <w:r>
          <w:t xml:space="preserve">ЧАСТОТЫ</w:t>
        </w:r>
        <w:r>
          <w:t xml:space="preserve"> </w:t>
        </w:r>
        <w:r>
          <w:t xml:space="preserve">ОТКАЗОВ</w:t>
        </w:r>
      </w:hyperlink>
      <w:r>
        <w:t xml:space="preserve"> </w:t>
      </w:r>
      <w:hyperlink r:id="rId124" w:tooltip="file:///D:\Source\Ses\Docs\Оглавление%20том%202%20%20О.М..docx#bookmark116" w:anchor="bookmark116" w:history="1">
        <w:r>
          <w:t xml:space="preserve">УЧАСТКОВ</w:t>
        </w:r>
        <w:r>
          <w:t xml:space="preserve"> </w:t>
        </w:r>
        <w:r>
          <w:t xml:space="preserve">ТЕПЛОВЫХ СЕТЕЙ</w:t>
        </w:r>
        <w:r>
          <w:t xml:space="preserve"> </w:t>
        </w:r>
        <w:r>
          <w:t xml:space="preserve">(АВАРИЙНЫХ СИТУАЦИЙ)</w:t>
        </w:r>
        <w:r>
          <w:t xml:space="preserve"> </w:t>
        </w:r>
        <w:r>
          <w:t xml:space="preserve">В КАЖДОЙ СИСТЕМЕ</w:t>
        </w:r>
      </w:hyperlink>
      <w:r>
        <w:t xml:space="preserve"> </w:t>
      </w:r>
      <w:hyperlink r:id="rId125" w:tooltip="file:///D:\Source\Ses\Docs\Оглавление%20том%202%20%20О.М..docx#bookmark116" w:anchor="bookmark116" w:history="1">
        <w:r>
          <w:t xml:space="preserve">ТЕПЛОСНАБЖЕНИЯ</w:t>
        </w:r>
        <w:bookmarkEnd w:id="292"/>
        <w:bookmarkEnd w:id="293"/>
        <w:bookmarkEnd w:id="294"/>
        <w:bookmarkEnd w:id="295"/>
        <w:r>
          <w:t xml:space="preserve"> </w:t>
        </w:r>
      </w:hyperlink>
      <w:r/>
      <w:r/>
    </w:p>
    <w:p>
      <w:pPr>
        <w:rPr>
          <w:rFonts w:cs="Times New Roman"/>
        </w:rPr>
      </w:pPr>
      <w:r/>
      <w:bookmarkStart w:id="296" w:name="_Toc32845466"/>
      <w:r/>
      <w:bookmarkEnd w:id="296"/>
      <w:r>
        <w:rPr>
          <w:rFonts w:cs="Times New Roman"/>
        </w:rPr>
      </w:r>
    </w:p>
    <w:p>
      <w:pPr>
        <w:contextualSpacing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Расчет и оценка показателей надежности систем теплоснабжения Печенгского муниципальног</w:t>
      </w:r>
      <w:r>
        <w:rPr>
          <w:rFonts w:cs="Times New Roman"/>
          <w:szCs w:val="24"/>
        </w:rPr>
        <w:t xml:space="preserve">о округа выполнялись в соответствии с приложением 40 Методических указаний по разработке схем теплоснабжения, утвержденных приказом Минэнерго России от 05.03.2019 г. №212. Основные положения данной методики приведены в части 9 Главы 1 настоящего документа.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Оценка показателей надёжности показал, что вероятность безотказной работы системы теплоснабжения г. Заполярный не соответствует нормативным требованиям, а коэф</w:t>
      </w:r>
      <w:r>
        <w:rPr>
          <w:rFonts w:cs="Times New Roman"/>
          <w:szCs w:val="24"/>
        </w:rPr>
        <w:t xml:space="preserve">фициент готовности системы теплоснабжения г. Заполярный соответствует нормативным требованиям. Вероятность безотказной работы и коэффициенты готовности других систем теплоснабжения, расположенных на территории округа, соответствует нормативным требованиям.</w:t>
      </w:r>
      <w:r>
        <w:rPr>
          <w:rFonts w:cs="Times New Roman"/>
          <w:szCs w:val="24"/>
        </w:rPr>
      </w:r>
    </w:p>
    <w:p>
      <w:pPr>
        <w:contextualSpacing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Для обеспечения надежного теплоснабжения потребителей предусмотрены в Схеме теплоснабжения мероприятия по реконструкции тепловых сетей с заменой изношенных участков. </w:t>
      </w:r>
      <w:r>
        <w:rPr>
          <w:rFonts w:cs="Times New Roman"/>
          <w:szCs w:val="24"/>
        </w:rPr>
      </w:r>
    </w:p>
    <w:p>
      <w:pPr>
        <w:contextualSpacing/>
        <w:ind w:firstLine="709"/>
        <w:jc w:val="both"/>
        <w:rPr>
          <w:rFonts w:eastAsia="Microsoft YaHei" w:cs="Times New Roman"/>
          <w:spacing w:val="-5"/>
          <w:szCs w:val="24"/>
        </w:rPr>
      </w:pPr>
      <w:r>
        <w:rPr>
          <w:rFonts w:cs="Times New Roman"/>
          <w:szCs w:val="24"/>
        </w:rPr>
        <w:t xml:space="preserve">Необходимо отметить, что еже</w:t>
      </w:r>
      <w:r>
        <w:rPr>
          <w:rFonts w:eastAsia="Microsoft YaHei" w:cs="Times New Roman"/>
          <w:spacing w:val="-5"/>
          <w:szCs w:val="24"/>
        </w:rPr>
        <w:t xml:space="preserve">годная замена изношенных участков тепловых сетей позволит повысить надежность теплоснабжения, снизить вероятность возникновения аварийной ситуации, а также сократить потери тепловой энергии и теплоносителя в тепловых сетях.</w:t>
      </w:r>
      <w:r>
        <w:rPr>
          <w:rFonts w:eastAsia="Microsoft YaHei" w:cs="Times New Roman"/>
          <w:spacing w:val="-5"/>
          <w:szCs w:val="24"/>
        </w:rPr>
      </w:r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126" w:tooltip="file:///D:\Source\Ses\Docs\Оглавление%20том%202%20%20О.М..docx#bookmark117" w:anchor="bookmark117" w:history="1">
        <w:bookmarkStart w:id="297" w:name="_Toc30081918"/>
        <w:bookmarkStart w:id="298" w:name="_Toc30085153"/>
        <w:bookmarkStart w:id="299" w:name="_Toc32845475"/>
        <w:bookmarkStart w:id="300" w:name="_Toc204085765"/>
        <w:r>
          <w:t xml:space="preserve">Часть 2. МЕТОДЫ И РЕЗУЛЬТАТЫ ОБРАБОТКИ ДАННЫХ ПО ВОССТАНОВЛЕНИЯМ</w:t>
        </w:r>
      </w:hyperlink>
      <w:r>
        <w:t xml:space="preserve"> </w:t>
      </w:r>
      <w:hyperlink r:id="rId127" w:tooltip="file:///D:\Source\Ses\Docs\Оглавление%20том%202%20%20О.М..docx#bookmark117" w:anchor="bookmark117" w:history="1">
        <w:r>
          <w:t xml:space="preserve">ОТКАЗАВШИХ УЧАСТКОВ ТЕПЛОВЫХ СЕТЕЙ (УЧАСТКОВ ТЕПЛОВЫХ СЕТЕЙ, НА</w:t>
        </w:r>
      </w:hyperlink>
      <w:r>
        <w:t xml:space="preserve"> </w:t>
      </w:r>
      <w:hyperlink r:id="rId128" w:tooltip="file:///D:\Source\Ses\Docs\Оглавление%20том%202%20%20О.М..docx#bookmark117" w:anchor="bookmark117" w:history="1">
        <w:r>
          <w:t xml:space="preserve">КОТОРЫХ ПРОИЗОШЛИ АВАРИЙНЫЕ СИТУАЦИИ), СРЕДНЕГО ВРЕМЕНИ</w:t>
        </w:r>
      </w:hyperlink>
      <w:r>
        <w:t xml:space="preserve"> </w:t>
      </w:r>
      <w:hyperlink r:id="rId129" w:tooltip="file:///D:\Source\Ses\Docs\Оглавление%20том%202%20%20О.М..docx#bookmark117" w:anchor="bookmark117" w:history="1">
        <w:r>
          <w:t xml:space="preserve">ВОССТАНОВЛЕНИЯ ОТКАЗАВШИХ УЧАСТКОВ ТЕПЛОВЫХ СЕТЕЙ В КАЖДОЙ</w:t>
        </w:r>
      </w:hyperlink>
      <w:r>
        <w:t xml:space="preserve"> </w:t>
      </w:r>
      <w:hyperlink r:id="rId130" w:tooltip="file:///D:\Source\Ses\Docs\Оглавление%20том%202%20%20О.М..docx#bookmark117" w:anchor="bookmark117" w:history="1">
        <w:r>
          <w:t xml:space="preserve">СИСТЕМЕ ТЕПЛОСНАБЖЕНИЯ</w:t>
        </w:r>
        <w:bookmarkEnd w:id="297"/>
        <w:bookmarkEnd w:id="298"/>
        <w:bookmarkEnd w:id="299"/>
        <w:bookmarkEnd w:id="300"/>
      </w:hyperlink>
      <w:r/>
      <w:r/>
    </w:p>
    <w:p>
      <w:pPr>
        <w:ind w:firstLine="426"/>
        <w:tabs>
          <w:tab w:val="left" w:pos="993" w:leader="none"/>
        </w:tabs>
        <w:rPr>
          <w:rFonts w:eastAsia="Microsoft YaHei" w:cs="Times New Roman"/>
          <w:spacing w:val="-5"/>
          <w:szCs w:val="24"/>
        </w:rPr>
      </w:pPr>
      <w:r>
        <w:rPr>
          <w:rFonts w:eastAsia="Microsoft YaHei" w:cs="Times New Roman"/>
          <w:spacing w:val="-5"/>
          <w:szCs w:val="24"/>
        </w:rPr>
        <w:t xml:space="preserve">Отказ теплоснабжения потребителя – событие, приводящее к падению температуры в отапливаемых помещениях жилых и общественных зданий ниже плюс 12°С, в промышленных зданиях ниже +8°С, в соответствии со СП 124.13330.2012. «Тепловые сети. Актуализированная реда</w:t>
      </w:r>
      <w:r>
        <w:rPr>
          <w:rFonts w:eastAsia="Microsoft YaHei" w:cs="Times New Roman"/>
          <w:spacing w:val="-5"/>
          <w:szCs w:val="24"/>
        </w:rPr>
        <w:t xml:space="preserve">кция. CHип 41-02-2003». С учетом данных о теплоаккумулирующей способности объектов теплопотребления (зданий) определяется время, за которое температура внутри отапливаемого помещения снизится до температуры, установленной в критериях отказа теплоснабжения.</w:t>
      </w:r>
      <w:r>
        <w:rPr>
          <w:rFonts w:eastAsia="Microsoft YaHei" w:cs="Times New Roman"/>
          <w:spacing w:val="-5"/>
          <w:szCs w:val="24"/>
        </w:rPr>
      </w:r>
    </w:p>
    <w:p>
      <w:pPr>
        <w:ind w:firstLine="426"/>
        <w:tabs>
          <w:tab w:val="left" w:pos="993" w:leader="none"/>
        </w:tabs>
        <w:rPr>
          <w:rFonts w:eastAsia="Microsoft YaHei" w:cs="Times New Roman"/>
          <w:spacing w:val="-5"/>
          <w:szCs w:val="24"/>
        </w:rPr>
      </w:pPr>
      <w:r>
        <w:rPr>
          <w:rFonts w:eastAsia="Microsoft YaHei" w:cs="Times New Roman"/>
          <w:spacing w:val="-5"/>
          <w:szCs w:val="24"/>
        </w:rPr>
        <w:t xml:space="preserve">Период времени снижения температуры при внезапном прекращении теплоснабжения до критического значения (плюс 12°С) рассчитывается по формуле:</w:t>
      </w:r>
      <w:r>
        <w:rPr>
          <w:rFonts w:eastAsia="Microsoft YaHei" w:cs="Times New Roman"/>
          <w:spacing w:val="-5"/>
          <w:szCs w:val="24"/>
        </w:rPr>
      </w:r>
    </w:p>
    <w:p>
      <w:pPr>
        <w:jc w:val="center"/>
        <w:tabs>
          <w:tab w:val="left" w:pos="993" w:leader="none"/>
        </w:tabs>
        <w:rPr>
          <w:rFonts w:cs="Times New Roman"/>
          <w:szCs w:val="24"/>
        </w:rPr>
      </w:pPr>
      <w:r>
        <w:rPr>
          <w:rFonts w:cs="Times New Roman"/>
          <w:position w:val="-30"/>
          <w:szCs w:val="24"/>
        </w:rPr>
        <w:object w:dxaOrig="1780" w:dyaOrig="7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106.50pt;height:42.00pt;mso-wrap-distance-left:0.00pt;mso-wrap-distance-top:0.00pt;mso-wrap-distance-right:0.00pt;mso-wrap-distance-bottom:0.00pt;" filled="f" stroked="f">
            <v:path textboxrect="0,0,0,0"/>
            <v:imagedata r:id="rId131" o:title=""/>
          </v:shape>
          <o:OLEObject DrawAspect="Content" r:id="rId132" ObjectID="_1525042" ProgID="Equation.3" ShapeID="_x0000_i2" Type="Embed"/>
        </w:object>
      </w:r>
      <w:r>
        <w:rPr>
          <w:rFonts w:cs="Times New Roman"/>
          <w:szCs w:val="24"/>
        </w:rPr>
        <w:t xml:space="preserve">,</w:t>
      </w:r>
      <w:r>
        <w:rPr>
          <w:rFonts w:cs="Times New Roman"/>
          <w:szCs w:val="24"/>
        </w:rPr>
      </w:r>
    </w:p>
    <w:p>
      <w:pPr>
        <w:ind w:firstLine="709"/>
        <w:tabs>
          <w:tab w:val="left" w:pos="993" w:leader="none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где </w:t>
      </w:r>
      <w:r>
        <w:rPr>
          <w:rFonts w:cs="Times New Roman"/>
          <w:position w:val="-12"/>
          <w:szCs w:val="24"/>
        </w:rPr>
        <w:object w:dxaOrig="340" w:dyaOrig="36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27.00pt;height:27.00pt;mso-wrap-distance-left:0.00pt;mso-wrap-distance-top:0.00pt;mso-wrap-distance-right:0.00pt;mso-wrap-distance-bottom:0.00pt;" filled="f" stroked="f">
            <v:path textboxrect="0,0,0,0"/>
            <v:imagedata r:id="rId133" o:title=""/>
          </v:shape>
          <o:OLEObject DrawAspect="Content" r:id="rId134" ObjectID="_1525043" ProgID="Equation.3" ShapeID="_x0000_i3" Type="Embed"/>
        </w:object>
      </w:r>
      <w:r>
        <w:rPr>
          <w:rFonts w:cs="Times New Roman"/>
          <w:szCs w:val="24"/>
        </w:rPr>
        <w:t xml:space="preserve"> - внутренняя температура, которая устанавливается критерием отказа теплоснабжения (</w:t>
      </w:r>
      <w:r>
        <w:rPr>
          <w:rFonts w:eastAsia="Microsoft YaHei" w:cs="Times New Roman"/>
          <w:spacing w:val="-5"/>
          <w:szCs w:val="24"/>
        </w:rPr>
        <w:t xml:space="preserve">плюс 12°С</w:t>
      </w:r>
      <w:r>
        <w:rPr>
          <w:rFonts w:cs="Times New Roman"/>
          <w:szCs w:val="24"/>
        </w:rPr>
        <w:t xml:space="preserve">);</w:t>
      </w:r>
      <w:r>
        <w:rPr>
          <w:rFonts w:cs="Times New Roman"/>
          <w:szCs w:val="24"/>
        </w:rPr>
      </w:r>
    </w:p>
    <w:p>
      <w:pPr>
        <w:ind w:firstLine="709"/>
        <w:tabs>
          <w:tab w:val="left" w:pos="993" w:leader="none"/>
        </w:tabs>
        <w:rPr>
          <w:rFonts w:cs="Times New Roman"/>
          <w:szCs w:val="24"/>
        </w:rPr>
      </w:pPr>
      <w:r>
        <w:rPr>
          <w:rFonts w:cs="Times New Roman"/>
          <w:position w:val="-12"/>
          <w:szCs w:val="24"/>
        </w:rPr>
        <w:object w:dxaOrig="1020" w:dyaOrig="38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60.00pt;height:22.50pt;mso-wrap-distance-left:0.00pt;mso-wrap-distance-top:0.00pt;mso-wrap-distance-right:0.00pt;mso-wrap-distance-bottom:0.00pt;" filled="f" stroked="f">
            <v:path textboxrect="0,0,0,0"/>
            <v:imagedata r:id="rId135" o:title=""/>
          </v:shape>
          <o:OLEObject DrawAspect="Content" r:id="rId136" ObjectID="_1525044" ProgID="Equation.3" ShapeID="_x0000_i4" Type="Embed"/>
        </w:object>
      </w:r>
      <w:r>
        <w:rPr>
          <w:rFonts w:cs="Times New Roman"/>
          <w:szCs w:val="24"/>
        </w:rPr>
        <w:t xml:space="preserve"> - температура в отапливаемом помещении, которая была в момент начала исходного события;</w:t>
      </w:r>
      <w:r>
        <w:rPr>
          <w:rFonts w:cs="Times New Roman"/>
          <w:szCs w:val="24"/>
        </w:rPr>
      </w:r>
    </w:p>
    <w:p>
      <w:pPr>
        <w:ind w:firstLine="709"/>
        <w:tabs>
          <w:tab w:val="left" w:pos="993" w:leader="none"/>
        </w:tabs>
        <w:rPr>
          <w:rFonts w:cs="Times New Roman"/>
          <w:szCs w:val="24"/>
        </w:rPr>
      </w:pPr>
      <w:r>
        <w:rPr>
          <w:rFonts w:cs="Times New Roman"/>
          <w:position w:val="-10"/>
          <w:szCs w:val="24"/>
        </w:rPr>
        <w:object w:dxaOrig="880" w:dyaOrig="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51.00pt;height:19.50pt;mso-wrap-distance-left:0.00pt;mso-wrap-distance-top:0.00pt;mso-wrap-distance-right:0.00pt;mso-wrap-distance-bottom:0.00pt;" filled="f" stroked="f">
            <v:path textboxrect="0,0,0,0"/>
            <v:imagedata r:id="rId137" o:title=""/>
          </v:shape>
          <o:OLEObject DrawAspect="Content" r:id="rId138" ObjectID="_1525045" ProgID="Equation.3" ShapeID="_x0000_i5" Type="Embed"/>
        </w:object>
      </w:r>
      <w:r>
        <w:rPr>
          <w:rFonts w:cs="Times New Roman"/>
          <w:szCs w:val="24"/>
        </w:rPr>
        <w:t xml:space="preserve"> - коэффициент аккумуляции помещения (здания).</w:t>
      </w:r>
      <w:r>
        <w:rPr>
          <w:rFonts w:cs="Times New Roman"/>
          <w:szCs w:val="24"/>
        </w:rPr>
      </w:r>
    </w:p>
    <w:p>
      <w:pPr>
        <w:ind w:firstLine="426"/>
        <w:tabs>
          <w:tab w:val="left" w:pos="993" w:leader="none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На рисунке 1 представлено графическое сравнение периода времени снижения температуры внутреннего воздуха до критического значения и периода времени, необходимого для восстановления участка тепловой сети.</w:t>
      </w:r>
      <w:r>
        <w:rPr>
          <w:rFonts w:cs="Times New Roman"/>
          <w:szCs w:val="24"/>
        </w:rPr>
      </w:r>
    </w:p>
    <w:p>
      <w:pPr>
        <w:ind w:firstLine="426"/>
        <w:tabs>
          <w:tab w:val="left" w:pos="993" w:leader="none"/>
        </w:tabs>
        <w:rPr>
          <w:rFonts w:cs="Times New Roman"/>
          <w:szCs w:val="24"/>
        </w:rPr>
      </w:pPr>
      <w:r>
        <w:rPr>
          <w:rFonts w:cs="Times New Roman"/>
          <w:szCs w:val="24"/>
        </w:rPr>
      </w:r>
      <w:r>
        <w:rPr>
          <w:rFonts w:cs="Times New Roman"/>
          <w:szCs w:val="24"/>
        </w:rPr>
      </w:r>
    </w:p>
    <w:p>
      <w:pPr>
        <w:ind w:left="-426"/>
        <w:tabs>
          <w:tab w:val="left" w:pos="993" w:leader="none"/>
        </w:tabs>
        <w:rPr>
          <w:rFonts w:cs="Times New Roman"/>
          <w:szCs w:val="24"/>
        </w:rPr>
      </w:pPr>
      <w:r>
        <w:rPr>
          <w:rFonts w:cs="Times New Roman"/>
          <w:szCs w:val="24"/>
          <w:lang w:eastAsia="ru-RU"/>
        </w:rPr>
        <w:drawing>
          <wp:inline distT="0" distB="0" distL="0" distR="0">
            <wp:extent cx="6056416" cy="2517569"/>
            <wp:effectExtent l="0" t="0" r="1905" b="1651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9"/>
              </a:graphicData>
            </a:graphic>
          </wp:inline>
        </w:drawing>
      </w:r>
      <w:r>
        <w:rPr>
          <w:rFonts w:cs="Times New Roman"/>
          <w:szCs w:val="24"/>
        </w:rPr>
      </w:r>
    </w:p>
    <w:p>
      <w:pPr>
        <w:spacing w:before="1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Рис. 11.2.1 - Графическое сравнение периода времени снижения температуры внутреннего воздуха до критического значения и периода времени, необходимого для восстановления участка тепловой сети</w:t>
      </w:r>
      <w:r>
        <w:rPr>
          <w:rFonts w:cs="Times New Roman"/>
          <w:szCs w:val="24"/>
        </w:rPr>
      </w:r>
    </w:p>
    <w:p>
      <w:pPr>
        <w:jc w:val="center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</w:r>
      <w:r>
        <w:rPr>
          <w:rFonts w:cs="Times New Roman"/>
          <w:i/>
          <w:szCs w:val="24"/>
        </w:rPr>
      </w:r>
    </w:p>
    <w:p>
      <w:pPr>
        <w:ind w:firstLine="709"/>
        <w:jc w:val="both"/>
        <w:tabs>
          <w:tab w:val="left" w:pos="993" w:leader="none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На графике вид</w:t>
      </w:r>
      <w:r>
        <w:rPr>
          <w:rFonts w:cs="Times New Roman"/>
          <w:szCs w:val="24"/>
        </w:rPr>
        <w:t xml:space="preserve">но, что минимальное значение периода времени снижения температуры внутреннего соответствует расчетной температуре наружного воздуха. При увеличении повышении температуры наружного воздуха период времени снижения температуры возрастает, так при температуре </w:t>
      </w:r>
      <w:r>
        <w:rPr>
          <w:rFonts w:cs="Times New Roman"/>
          <w:szCs w:val="24"/>
          <w:lang w:val="en-US"/>
        </w:rPr>
        <w:t xml:space="preserve">t</w:t>
      </w:r>
      <w:r>
        <w:rPr>
          <w:rFonts w:cs="Times New Roman"/>
          <w:szCs w:val="24"/>
          <w:vertAlign w:val="subscript"/>
        </w:rPr>
        <w:t xml:space="preserve">н</w:t>
      </w:r>
      <w:r>
        <w:rPr>
          <w:rFonts w:cs="Times New Roman"/>
          <w:szCs w:val="24"/>
        </w:rPr>
        <w:t xml:space="preserve">=-39°</w:t>
      </w:r>
      <w:r>
        <w:rPr>
          <w:rFonts w:cs="Times New Roman"/>
          <w:szCs w:val="24"/>
          <w:lang w:val="en-US"/>
        </w:rPr>
        <w:t xml:space="preserve">C</w:t>
      </w:r>
      <w:r>
        <w:rPr>
          <w:rFonts w:cs="Times New Roman"/>
          <w:szCs w:val="24"/>
        </w:rPr>
        <w:t xml:space="preserve"> период времени составляет </w:t>
      </w:r>
      <w:r>
        <w:rPr>
          <w:rFonts w:cs="Times New Roman"/>
          <w:szCs w:val="24"/>
          <w:lang w:val="en-US"/>
        </w:rPr>
        <w:t xml:space="preserve">z</w:t>
      </w:r>
      <w:r>
        <w:rPr>
          <w:rFonts w:cs="Times New Roman"/>
          <w:szCs w:val="24"/>
        </w:rPr>
        <w:t xml:space="preserve">=6,0492 часов, а при температуре плюс </w:t>
      </w:r>
      <w:r>
        <w:rPr>
          <w:rFonts w:cs="Times New Roman"/>
          <w:szCs w:val="24"/>
          <w:lang w:val="en-US"/>
        </w:rPr>
        <w:t xml:space="preserve">t</w:t>
      </w:r>
      <w:r>
        <w:rPr>
          <w:rFonts w:cs="Times New Roman"/>
          <w:szCs w:val="24"/>
          <w:vertAlign w:val="subscript"/>
        </w:rPr>
        <w:t xml:space="preserve">н</w:t>
      </w:r>
      <w:r>
        <w:rPr>
          <w:rFonts w:cs="Times New Roman"/>
          <w:szCs w:val="24"/>
        </w:rPr>
        <w:t xml:space="preserve">=9°</w:t>
      </w:r>
      <w:r>
        <w:rPr>
          <w:rFonts w:cs="Times New Roman"/>
          <w:szCs w:val="24"/>
          <w:lang w:val="en-US"/>
        </w:rPr>
        <w:t xml:space="preserve">C</w:t>
      </w:r>
      <w:r>
        <w:rPr>
          <w:rFonts w:cs="Times New Roman"/>
          <w:szCs w:val="24"/>
        </w:rPr>
        <w:t xml:space="preserve"> - 51,9713 часов.</w:t>
      </w:r>
      <w:r>
        <w:rPr>
          <w:rFonts w:cs="Times New Roman"/>
          <w:szCs w:val="24"/>
        </w:rPr>
      </w:r>
    </w:p>
    <w:p>
      <w:pPr>
        <w:ind w:firstLine="709"/>
        <w:jc w:val="both"/>
        <w:tabs>
          <w:tab w:val="left" w:pos="993" w:leader="none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Период восстановления участка тепловой сет</w:t>
      </w:r>
      <w:r>
        <w:rPr>
          <w:rFonts w:cs="Times New Roman"/>
          <w:szCs w:val="24"/>
        </w:rPr>
        <w:t xml:space="preserve">и зависит от диаметра трубопроводом, большему диаметру соответствует больший период времени восстановления. Период времени восстановления участка тепловой сети диаметром 32 мм составляет 3,803 часов, а участка тепловой сети диаметром 300 мм - 15,967 часов.</w:t>
      </w:r>
      <w:r>
        <w:rPr>
          <w:rFonts w:cs="Times New Roman"/>
          <w:szCs w:val="24"/>
        </w:rPr>
      </w:r>
    </w:p>
    <w:p>
      <w:pPr>
        <w:ind w:firstLine="709"/>
        <w:jc w:val="both"/>
        <w:tabs>
          <w:tab w:val="left" w:pos="993" w:leader="none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 графику видно, что период времени восстановления диаметра тепловой сети диаметром 32 мм меньше периода времени снижения температуры внутреннего воздуха в любом температурном диапазоне. </w:t>
      </w:r>
      <w:r>
        <w:rPr>
          <w:rFonts w:cs="Times New Roman"/>
          <w:szCs w:val="24"/>
        </w:rPr>
      </w:r>
    </w:p>
    <w:p>
      <w:pPr>
        <w:ind w:firstLine="709"/>
        <w:jc w:val="both"/>
        <w:tabs>
          <w:tab w:val="left" w:pos="993" w:leader="none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Период времени восстановления диаметра тепловой сети диаметром 300 мм меньше периода времени снижения температуры внутреннего воздуха при температуре наружного воздуха более минус 4°</w:t>
      </w:r>
      <w:r>
        <w:rPr>
          <w:rFonts w:cs="Times New Roman"/>
          <w:szCs w:val="24"/>
          <w:lang w:val="en-US"/>
        </w:rPr>
        <w:t xml:space="preserve">C</w:t>
      </w:r>
      <w:r>
        <w:rPr>
          <w:rFonts w:cs="Times New Roman"/>
          <w:szCs w:val="24"/>
        </w:rPr>
        <w:t xml:space="preserve">. При температуре наружного воздуха менее минус 4°</w:t>
      </w:r>
      <w:r>
        <w:rPr>
          <w:rFonts w:cs="Times New Roman"/>
          <w:szCs w:val="24"/>
          <w:lang w:val="en-US"/>
        </w:rPr>
        <w:t xml:space="preserve">C</w:t>
      </w:r>
      <w:r>
        <w:rPr>
          <w:rFonts w:cs="Times New Roman"/>
          <w:szCs w:val="24"/>
        </w:rPr>
        <w:t xml:space="preserve">, повышается вероятность «замораживания» систем отопления зданий, в связи с тем, что период времени снижения температуры до критического значения меньше, чем период времени восстановления участков тепловой сети.</w:t>
      </w:r>
      <w:r>
        <w:rPr>
          <w:rFonts w:cs="Times New Roman"/>
          <w:szCs w:val="24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40" w:tooltip="file:///D:\Source\Ses\Docs\Оглавление%20том%202%20%20О.М..docx#bookmark118" w:anchor="bookmark118" w:history="1">
        <w:bookmarkStart w:id="301" w:name="_Toc30081919"/>
        <w:bookmarkStart w:id="302" w:name="_Toc30085154"/>
        <w:bookmarkStart w:id="303" w:name="_Toc32845476"/>
        <w:bookmarkStart w:id="304" w:name="_Toc204085766"/>
        <w:r>
          <w:t xml:space="preserve">Часть 3. РЕЗУЛЬТАТЫ ОЦЕНКИ ВЕРОЯТНОСТИ ОТКАЗА (АВАРИЙНОЙ СИТУАЦИИ)</w:t>
        </w:r>
      </w:hyperlink>
      <w:r>
        <w:t xml:space="preserve"> </w:t>
      </w:r>
      <w:hyperlink r:id="rId141" w:tooltip="file:///D:\Source\Ses\Docs\Оглавление%20том%202%20%20О.М..docx#bookmark118" w:anchor="bookmark118" w:history="1">
        <w:r>
          <w:t xml:space="preserve">И БЕЗОТКАЗНОЙ (БЕЗАВАРИЙНОЙ) РАБОТЫ СИСТЕМЫ ТЕПЛОСНАБЖЕНИЯ ПО</w:t>
        </w:r>
      </w:hyperlink>
      <w:r>
        <w:t xml:space="preserve"> </w:t>
      </w:r>
      <w:hyperlink r:id="rId142" w:tooltip="file:///D:\Source\Ses\Docs\Оглавление%20том%202%20%20О.М..docx#bookmark118" w:anchor="bookmark118" w:history="1">
        <w:r>
          <w:t xml:space="preserve">ОТНОШЕНИЮ К ПОТРЕБИТЕЛЯМ, ПРИСОЕДИНЕННЫМ К МАГИСТРАЛЬНЫМ И</w:t>
        </w:r>
      </w:hyperlink>
      <w:r>
        <w:t xml:space="preserve"> </w:t>
      </w:r>
      <w:hyperlink r:id="rId143" w:tooltip="file:///D:\Source\Ses\Docs\Оглавление%20том%202%20%20О.М..docx#bookmark118" w:anchor="bookmark118" w:history="1">
        <w:r>
          <w:t xml:space="preserve">РАСПРЕДЕЛИТЕЛЬНЫМ ТЕПЛОПРОВОДАМ</w:t>
        </w:r>
        <w:bookmarkEnd w:id="301"/>
        <w:bookmarkEnd w:id="302"/>
        <w:bookmarkEnd w:id="303"/>
        <w:bookmarkEnd w:id="304"/>
      </w:hyperlink>
      <w:r/>
      <w:r/>
    </w:p>
    <w:p>
      <w:pPr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Вероятность безотказной работы системы теплоснабжения г. Заполярный не соответствует нормативным требованиям. </w:t>
      </w:r>
      <w:r>
        <w:rPr>
          <w:rFonts w:cs="Times New Roman"/>
          <w:szCs w:val="24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Вероятность безотказной работы других систем теплоснабжения, расположенных на территории округа, удовлетворяет нормативным требованиям.</w:t>
      </w:r>
      <w:r>
        <w:rPr>
          <w:rFonts w:cs="Times New Roman"/>
          <w:szCs w:val="24"/>
        </w:rPr>
      </w:r>
    </w:p>
    <w:p>
      <w:pPr>
        <w:ind w:right="164"/>
        <w:jc w:val="both"/>
        <w:spacing w:before="102" w:line="271" w:lineRule="auto"/>
        <w:widowControl w:val="off"/>
        <w:tabs>
          <w:tab w:val="left" w:pos="9637" w:leader="dot"/>
        </w:tabs>
        <w:rPr>
          <w:rFonts w:cs="Times New Roman" w:eastAsiaTheme="minorEastAsia"/>
          <w:spacing w:val="-1"/>
          <w:szCs w:val="24"/>
          <w:lang w:eastAsia="ru-RU"/>
        </w:rPr>
      </w:pPr>
      <w:r>
        <w:rPr>
          <w:rFonts w:cs="Times New Roman" w:eastAsiaTheme="minorEastAsia"/>
          <w:spacing w:val="-1"/>
          <w:szCs w:val="24"/>
          <w:lang w:eastAsia="ru-RU"/>
        </w:rPr>
      </w:r>
      <w:r>
        <w:rPr>
          <w:rFonts w:cs="Times New Roman" w:eastAsiaTheme="minorEastAsia"/>
          <w:spacing w:val="-1"/>
          <w:szCs w:val="24"/>
          <w:lang w:eastAsia="ru-RU"/>
        </w:rPr>
      </w:r>
    </w:p>
    <w:p>
      <w:pPr>
        <w:pStyle w:val="717"/>
        <w:ind w:left="0" w:firstLine="0"/>
      </w:pPr>
      <w:r/>
      <w:hyperlink r:id="rId144" w:tooltip="file:///D:\Source\Ses\Docs\Оглавление%20том%202%20%20О.М..docx#bookmark119" w:anchor="bookmark119" w:history="1">
        <w:bookmarkStart w:id="305" w:name="_Toc30081920"/>
        <w:bookmarkStart w:id="306" w:name="_Toc30085155"/>
        <w:bookmarkStart w:id="307" w:name="_Toc32845477"/>
        <w:bookmarkStart w:id="308" w:name="_Toc204085767"/>
        <w:r>
          <w:t xml:space="preserve">Часть 4. РЕЗУЛЬТАТЫ ОЦЕНКИ КОЭФФИЦИЕНТОВ ГОТОВНОСТИ</w:t>
        </w:r>
      </w:hyperlink>
      <w:r>
        <w:t xml:space="preserve"> </w:t>
      </w:r>
      <w:hyperlink r:id="rId145" w:tooltip="file:///D:\Source\Ses\Docs\Оглавление%20том%202%20%20О.М..docx#bookmark119" w:anchor="bookmark119" w:history="1">
        <w:r>
          <w:t xml:space="preserve">ТЕПЛОПРОВОДОВ К НЕСЕНИЮ ТЕПЛОВОЙ НАГРУЗКИ</w:t>
        </w:r>
        <w:bookmarkEnd w:id="305"/>
        <w:bookmarkEnd w:id="306"/>
        <w:bookmarkEnd w:id="307"/>
        <w:bookmarkEnd w:id="308"/>
      </w:hyperlink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Коэффициенты готовности систем теплоснабжения, расположенных на территории округа, соответствует нормативным требованиям.</w:t>
      </w:r>
      <w:r>
        <w:rPr>
          <w:rFonts w:cs="Times New Roman"/>
          <w:szCs w:val="24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46" w:tooltip="file:///D:\Source\Ses\Docs\Оглавление%20том%202%20%20О.М..docx#bookmark124" w:anchor="bookmark124" w:history="1">
        <w:bookmarkStart w:id="309" w:name="_Toc30085160"/>
        <w:bookmarkStart w:id="310" w:name="_Toc32845482"/>
        <w:bookmarkStart w:id="311" w:name="_Toc204085768"/>
        <w:r>
          <w:t xml:space="preserve">Часть 5. РЕЗУЛЬТАТЫ ОЦЕНКИ НЕДООТПУСКА ТЕПЛОВОЙ ЭНЕРГИИ ПО ПРИЧИНЕ</w:t>
        </w:r>
      </w:hyperlink>
      <w:r>
        <w:t xml:space="preserve"> </w:t>
      </w:r>
      <w:hyperlink r:id="rId147" w:tooltip="file:///D:\Source\Ses\Docs\Оглавление%20том%202%20%20О.М..docx#bookmark124" w:anchor="bookmark124" w:history="1">
        <w:r>
          <w:t xml:space="preserve">ОТКАЗОВ (АВАРИЙНЫХ СИТУАЦИЙ) И ПРОСТОЕВ ТЕПЛОВЫХ СЕТЕЙ И</w:t>
        </w:r>
      </w:hyperlink>
      <w:r>
        <w:t xml:space="preserve"> </w:t>
      </w:r>
      <w:hyperlink r:id="rId148" w:tooltip="file:///D:\Source\Ses\Docs\Оглавление%20том%202%20%20О.М..docx#bookmark124" w:anchor="bookmark124" w:history="1">
        <w:r>
          <w:t xml:space="preserve">ИСТОЧНИКОВ ТЕПЛОВОЙ ЭНЕРГИИ</w:t>
        </w:r>
        <w:bookmarkEnd w:id="309"/>
        <w:bookmarkEnd w:id="310"/>
        <w:bookmarkEnd w:id="311"/>
      </w:hyperlink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tabs>
          <w:tab w:val="left" w:pos="0" w:leader="none"/>
        </w:tabs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Согласно СП 124.13330.2012 «Тепловые сети. Актуализированная редакция СНиП 41-02-2003» при авариях (отказах) на источнике теплоты на его выходных коллекторах в течение всего ремонтно-восстановительного допустимое снижение теплоты при расчетной температур</w:t>
      </w:r>
      <w:r>
        <w:rPr>
          <w:rFonts w:eastAsia="Times New Roman" w:cs="Times New Roman"/>
          <w:szCs w:val="24"/>
          <w:lang w:eastAsia="ru-RU"/>
        </w:rPr>
        <w:t xml:space="preserve">е наружного воздуха для проектирования отопления определяется по таблице 41. При средневзвешенном допустимом времени восстановления тепловой сети (как самого слабого элемента системы теплоснабжения), можно рассчитать допустимый недоотпуск тепловой энергии.</w:t>
      </w:r>
      <w:r>
        <w:rPr>
          <w:rFonts w:eastAsia="Times New Roman" w:cs="Times New Roman"/>
          <w:szCs w:val="24"/>
          <w:lang w:eastAsia="ru-RU"/>
        </w:rPr>
      </w:r>
    </w:p>
    <w:p>
      <w:pPr>
        <w:spacing w:before="24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Таблица </w:t>
      </w:r>
      <w:r>
        <w:rPr>
          <w:rFonts w:cs="Times New Roman"/>
          <w:b/>
          <w:szCs w:val="24"/>
        </w:rPr>
        <w:t xml:space="preserve">11.5.1</w:t>
      </w:r>
      <w:r>
        <w:rPr>
          <w:rFonts w:cs="Times New Roman"/>
          <w:b/>
          <w:szCs w:val="24"/>
        </w:rPr>
        <w:t xml:space="preserve"> - Допустимое снижение теплоты при расчетной температуре наружного воздуха</w:t>
      </w:r>
      <w:r>
        <w:rPr>
          <w:rFonts w:cs="Times New Roman"/>
          <w:b/>
          <w:szCs w:val="24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15" w:type="dxa"/>
          <w:top w:w="15" w:type="dxa"/>
          <w:right w:w="15" w:type="dxa"/>
          <w:bottom w:w="15" w:type="dxa"/>
        </w:tblCellMar>
        <w:tblLook w:val="0000" w:firstRow="0" w:lastRow="0" w:firstColumn="0" w:lastColumn="0" w:noHBand="0" w:noVBand="0"/>
      </w:tblPr>
      <w:tblGrid>
        <w:gridCol w:w="3396"/>
        <w:gridCol w:w="1190"/>
        <w:gridCol w:w="1190"/>
        <w:gridCol w:w="1190"/>
        <w:gridCol w:w="1190"/>
        <w:gridCol w:w="1190"/>
      </w:tblGrid>
      <w:tr>
        <w:tblPrEx/>
        <w:trPr>
          <w:trHeight w:val="659"/>
        </w:trPr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Наименование показателя</w:t>
            </w:r>
            <w:r>
              <w:rPr>
                <w:rFonts w:cs="Times New Roman"/>
                <w:sz w:val="20"/>
                <w:szCs w:val="24"/>
              </w:rPr>
            </w:r>
          </w:p>
        </w:tc>
        <w:tc>
          <w:tcPr>
            <w:gridSpan w:val="5"/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Расчетная температура наружного воздуха для проектирования отопления</w:t>
            </w:r>
            <w:r>
              <w:rPr>
                <w:rStyle w:val="3487"/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  <w:szCs w:val="24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95885" cy="159385"/>
                      <wp:effectExtent l="0" t="0" r="0" b="0"/>
                      <wp:docPr id="8" name="Рисунок 186" descr="http://dokipedia.ru/sites/default/files/doc_files/515/550/8/files/image3.emf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6" descr="http://dokipedia.ru/sites/default/files/doc_files/515/550/8/files/image3.emf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5884" cy="159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width:7.55pt;height:12.55pt;mso-wrap-distance-left:0.00pt;mso-wrap-distance-top:0.00pt;mso-wrap-distance-right:0.00pt;mso-wrap-distance-bottom:0.00pt;" stroked="f">
                      <v:path textboxrect="0,0,0,0"/>
                      <v:imagedata r:id="rId149" o:title=""/>
                    </v:shape>
                  </w:pict>
                </mc:Fallback>
              </mc:AlternateContent>
            </w:r>
            <w:r>
              <w:rPr>
                <w:rStyle w:val="3487"/>
                <w:rFonts w:cs="Times New Roman"/>
                <w:sz w:val="20"/>
              </w:rPr>
              <w:t xml:space="preserve"> </w:t>
            </w:r>
            <w:r>
              <w:rPr>
                <w:rStyle w:val="3488"/>
                <w:rFonts w:cs="Times New Roman"/>
                <w:sz w:val="20"/>
                <w:szCs w:val="24"/>
              </w:rPr>
              <w:t xml:space="preserve">, °C</w:t>
            </w:r>
            <w:r>
              <w:rPr>
                <w:rFonts w:cs="Times New Roman"/>
                <w:sz w:val="20"/>
                <w:szCs w:val="24"/>
              </w:rPr>
            </w:r>
          </w:p>
        </w:tc>
      </w:tr>
      <w:tr>
        <w:tblPrEx/>
        <w:trPr>
          <w:trHeight w:val="372"/>
        </w:trPr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</w:r>
            <w:r>
              <w:rPr>
                <w:rFonts w:cs="Times New Roman"/>
                <w:sz w:val="20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минус 10</w:t>
            </w:r>
            <w:r>
              <w:rPr>
                <w:rFonts w:cs="Times New Roman"/>
                <w:sz w:val="20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минус 20</w:t>
            </w:r>
            <w:r>
              <w:rPr>
                <w:rFonts w:cs="Times New Roman"/>
                <w:sz w:val="20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минус 30</w:t>
            </w:r>
            <w:r>
              <w:rPr>
                <w:rFonts w:cs="Times New Roman"/>
                <w:sz w:val="20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минус 40</w:t>
            </w:r>
            <w:r>
              <w:rPr>
                <w:rFonts w:cs="Times New Roman"/>
                <w:sz w:val="20"/>
                <w:szCs w:val="24"/>
              </w:rPr>
            </w:r>
          </w:p>
        </w:tc>
        <w:tc>
          <w:tcPr>
            <w:shd w:val="clear" w:color="auto" w:fill="f2f2f2" w:themeFill="background1" w:themeFillShade="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минус 50</w:t>
            </w:r>
            <w:r>
              <w:rPr>
                <w:rFonts w:cs="Times New Roman"/>
                <w:sz w:val="20"/>
                <w:szCs w:val="24"/>
              </w:rPr>
            </w:r>
          </w:p>
        </w:tc>
      </w:tr>
      <w:tr>
        <w:tblPrEx/>
        <w:trPr>
          <w:trHeight w:val="6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142"/>
              <w:rPr>
                <w:rFonts w:cs="Times New Roman"/>
                <w:sz w:val="20"/>
                <w:szCs w:val="24"/>
              </w:rPr>
            </w:pPr>
            <w:r>
              <w:rPr>
                <w:rStyle w:val="3489"/>
                <w:rFonts w:cs="Times New Roman"/>
                <w:sz w:val="20"/>
              </w:rPr>
              <w:t xml:space="preserve">Допустимое снижение подачи теплоты, %, до</w:t>
            </w:r>
            <w:r>
              <w:rPr>
                <w:rFonts w:cs="Times New Roman"/>
                <w:sz w:val="20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142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78</w:t>
            </w:r>
            <w:r>
              <w:rPr>
                <w:rFonts w:cs="Times New Roman"/>
                <w:sz w:val="20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77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84</w:t>
            </w:r>
            <w:r>
              <w:rPr>
                <w:rFonts w:cs="Times New Roman"/>
                <w:sz w:val="20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15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87</w:t>
            </w:r>
            <w:r>
              <w:rPr>
                <w:rFonts w:cs="Times New Roman"/>
                <w:sz w:val="20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89</w:t>
            </w:r>
            <w:r>
              <w:rPr>
                <w:rFonts w:cs="Times New Roman"/>
                <w:sz w:val="20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49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Style w:val="3488"/>
                <w:rFonts w:cs="Times New Roman"/>
                <w:sz w:val="20"/>
                <w:szCs w:val="24"/>
              </w:rPr>
              <w:t xml:space="preserve">91</w:t>
            </w:r>
            <w:r>
              <w:rPr>
                <w:rFonts w:cs="Times New Roman"/>
                <w:sz w:val="20"/>
                <w:szCs w:val="24"/>
              </w:rPr>
            </w:r>
          </w:p>
        </w:tc>
      </w:tr>
    </w:tbl>
    <w:p>
      <w:pPr>
        <w:rPr>
          <w:rStyle w:val="3489"/>
          <w:rFonts w:cs="Times New Roman"/>
          <w:sz w:val="20"/>
        </w:rPr>
      </w:pPr>
      <w:r>
        <w:rPr>
          <w:rStyle w:val="3489"/>
          <w:rFonts w:cs="Times New Roman"/>
          <w:sz w:val="20"/>
        </w:rPr>
        <w:t xml:space="preserve">Примечание - Таблица соответствует температуре наружного воздуха наиболее холодной пятидневки обеспеченностью 0,92.</w:t>
      </w:r>
      <w:r>
        <w:rPr>
          <w:rStyle w:val="3489"/>
          <w:rFonts w:cs="Times New Roman"/>
          <w:sz w:val="20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firstLine="709"/>
        <w:jc w:val="both"/>
        <w:tabs>
          <w:tab w:val="left" w:pos="0" w:leader="none"/>
        </w:tabs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Согласно постановлению Правительства РФ от 08.08.2012 г. № 808 «Об организации теплоснабжения в </w:t>
      </w:r>
      <w:r>
        <w:rPr>
          <w:rFonts w:eastAsia="Times New Roman" w:cs="Times New Roman"/>
          <w:szCs w:val="24"/>
          <w:lang w:eastAsia="ru-RU"/>
        </w:rPr>
        <w:t xml:space="preserve">Российской Федерации и о внесении изменений в некоторые акты правительства Российской Федерации» частичное ограничение режима потребления влечет за собой снижение объема или температуры теплоносителя, подаваемого потребителю, по сравнению с объемом или тем</w:t>
      </w:r>
      <w:r>
        <w:rPr>
          <w:rFonts w:eastAsia="Times New Roman" w:cs="Times New Roman"/>
          <w:szCs w:val="24"/>
          <w:lang w:eastAsia="ru-RU"/>
        </w:rPr>
        <w:t xml:space="preserve">пературой, определенными в договоре теплоснабжения, или фактической потребностью (для граждан-потребителей) либо прекращение подачи тепловой энергии или теплоносителя потребителю в определенные периоды в течение суток, недели или месяца. Поставщик освобожд</w:t>
      </w:r>
      <w:r>
        <w:rPr>
          <w:rFonts w:eastAsia="Times New Roman" w:cs="Times New Roman"/>
          <w:szCs w:val="24"/>
          <w:lang w:eastAsia="ru-RU"/>
        </w:rPr>
        <w:t xml:space="preserve">ается от обязанности поставить объем тепловой энергии, недопоставленный в период ограничения режима потребления, введенного в случае нарушения потребителем своих обязательств, после возобновления (восстановления до прежнего уровня) подачи тепловой энергии.</w:t>
      </w:r>
      <w:r>
        <w:rPr>
          <w:rFonts w:eastAsia="Times New Roman" w:cs="Times New Roman"/>
          <w:szCs w:val="24"/>
          <w:lang w:eastAsia="ru-RU"/>
        </w:rPr>
      </w:r>
    </w:p>
    <w:p>
      <w:pPr>
        <w:ind w:firstLine="709"/>
        <w:jc w:val="both"/>
        <w:tabs>
          <w:tab w:val="left" w:pos="0" w:leader="none"/>
        </w:tabs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Поскольку параметры поставляемого теплоносителя потребителю определяются договором теплоснабжения, то имеет смысл говорить о качестве теплоносителя, отпускаемого с источника тепловой энергии.</w:t>
      </w:r>
      <w:r>
        <w:rPr>
          <w:rFonts w:eastAsia="Times New Roman" w:cs="Times New Roman"/>
          <w:szCs w:val="24"/>
          <w:lang w:eastAsia="ru-RU"/>
        </w:rPr>
      </w:r>
    </w:p>
    <w:p>
      <w:pPr>
        <w:ind w:firstLine="709"/>
        <w:jc w:val="both"/>
        <w:tabs>
          <w:tab w:val="left" w:pos="0" w:leader="none"/>
        </w:tabs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В аварийной ситуации при качественном регулировании, используемое в системах теплоснабжения, возможно снижение температуры теплоносителя при расчетных расходах сетевой воды в системах теплоснабжения в пределах, позволяющих при том же расходе тепло</w:t>
      </w:r>
      <w:r>
        <w:rPr>
          <w:rFonts w:eastAsia="Times New Roman" w:cs="Times New Roman"/>
          <w:szCs w:val="24"/>
          <w:lang w:eastAsia="ru-RU"/>
        </w:rPr>
        <w:t xml:space="preserve">носителя достичь минимально необходимого количества отпускаемой тепловой энергии. Для этого необходимо рассмотреть возможный температурный график отпуска тепловой энергии при увеличенном расчетном удельном расходе сетевой воды на передачу тепловой энергии.</w:t>
      </w:r>
      <w:r>
        <w:rPr>
          <w:rFonts w:eastAsia="Times New Roman" w:cs="Times New Roman"/>
          <w:szCs w:val="24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312" w:name="_Toc53927730"/>
      <w:r/>
      <w:bookmarkStart w:id="313" w:name="_Toc204085769"/>
      <w:r>
        <w:t xml:space="preserve">Часть 6. ПРИМЕНЕНИЕ НА ИСТОЧНИКАХ ТЕПЛОВОЙ ЭНЕРГИИ РАЦИОНАЛЬНЫХ ТЕПЛОВЫХ СИСТЕМ С ДУБЛИРОВАННЫМИ СВЯЗЯМИ И НОВЫХ ТЕХНОЛОГИЙ, ОБЕСПЕЧИВАЮЩИХ НОРМАТИВНУЮ ГОТОВНОСТЬ ЭНЕРГЕТИЧЕСКОГО ОБОРУДОВАНИЯ</w:t>
      </w:r>
      <w:bookmarkEnd w:id="312"/>
      <w:r/>
      <w:bookmarkEnd w:id="313"/>
      <w:r/>
      <w:r/>
    </w:p>
    <w:p>
      <w:pPr>
        <w:ind w:firstLine="709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Применение рациональных тепловых схем, с дублированными связями, обеспечивающих готовность энергетического оборудования источников теплоты на перспективный период не запланировано.</w:t>
      </w:r>
      <w:r>
        <w:rPr>
          <w:rFonts w:cs="Times New Roman"/>
          <w:szCs w:val="24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314" w:name="_Toc53927731"/>
      <w:r/>
      <w:bookmarkStart w:id="315" w:name="_Toc204085770"/>
      <w:r>
        <w:t xml:space="preserve">Часть 7. УСТАНОВКА РЕЗЕРВНОГО ОБОРУДОВАНИЯ</w:t>
      </w:r>
      <w:bookmarkEnd w:id="314"/>
      <w:r/>
      <w:bookmarkEnd w:id="315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Установка резервного (дополнительного) оборудования не предусматривается.</w:t>
      </w:r>
      <w:r>
        <w:rPr>
          <w:rFonts w:cs="Times New Roman"/>
          <w:szCs w:val="24"/>
        </w:rPr>
      </w:r>
    </w:p>
    <w:p>
      <w:pPr>
        <w:rPr>
          <w:rFonts w:eastAsia="Calibri" w:cs="Times New Roman"/>
        </w:rPr>
      </w:pPr>
      <w:r>
        <w:rPr>
          <w:rFonts w:eastAsia="Calibri" w:cs="Times New Roman"/>
        </w:rPr>
      </w:r>
      <w:r>
        <w:rPr>
          <w:rFonts w:eastAsia="Calibri" w:cs="Times New Roman"/>
        </w:rPr>
      </w:r>
    </w:p>
    <w:p>
      <w:pPr>
        <w:pStyle w:val="717"/>
        <w:ind w:left="0" w:firstLine="0"/>
      </w:pPr>
      <w:r/>
      <w:bookmarkStart w:id="316" w:name="_Toc53927732"/>
      <w:r/>
      <w:bookmarkStart w:id="317" w:name="_Toc204085771"/>
      <w:r>
        <w:t xml:space="preserve">Часть 8. ОРГАНИЗАЦИЯ СОВМЕСТНОЙ РАБОТЫ НЕСКОЛЬКИХ ИСТОЧНИКОВ ТЕПЛОВОЙ ЭНЕРГИИ НА ЕДИНУЮ ТЕПЛОВУЮ СЕТЬ</w:t>
      </w:r>
      <w:bookmarkEnd w:id="316"/>
      <w:r/>
      <w:bookmarkEnd w:id="317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Совместная работа источников тепловой энергии в единую тепловую сеть не предусматривается.</w:t>
      </w:r>
      <w:r>
        <w:rPr>
          <w:rFonts w:cs="Times New Roman"/>
          <w:szCs w:val="24"/>
        </w:rPr>
      </w:r>
    </w:p>
    <w:p>
      <w:pPr>
        <w:rPr>
          <w:rFonts w:eastAsia="Calibri" w:cs="Times New Roman"/>
        </w:rPr>
      </w:pPr>
      <w:r>
        <w:rPr>
          <w:rFonts w:eastAsia="Calibri" w:cs="Times New Roman"/>
        </w:rPr>
      </w:r>
      <w:r>
        <w:rPr>
          <w:rFonts w:eastAsia="Calibri" w:cs="Times New Roman"/>
        </w:rPr>
      </w:r>
    </w:p>
    <w:p>
      <w:pPr>
        <w:pStyle w:val="717"/>
        <w:ind w:left="0" w:firstLine="0"/>
      </w:pPr>
      <w:r/>
      <w:bookmarkStart w:id="318" w:name="_Toc53927733"/>
      <w:r/>
      <w:bookmarkStart w:id="319" w:name="_Toc204085772"/>
      <w:r>
        <w:t xml:space="preserve">Часть 9. РЕЗЕРВИРОВАНИЕ ТЕПЛОВЫХ СЕТЕЙ СМЕЖНЫХ РАЙОНОВ </w:t>
      </w:r>
      <w:bookmarkEnd w:id="318"/>
      <w:r>
        <w:t xml:space="preserve">ПОСЕЛЕНИЯ, ГОРОДСКОГО ОКРУГА, ГОРОДА ФЕДЕРАЛЬНОГО ЗНАЧЕНИЯ</w:t>
      </w:r>
      <w:bookmarkEnd w:id="319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Структурное резервирование тепловых сетей смежных районов не требуется, резервирование разветвлённых тупиковых тепловых сетей осуществляется делением последовательно соединённых участков теплопроводов секционирующими задвижками.</w:t>
      </w:r>
      <w:r>
        <w:rPr>
          <w:rFonts w:cs="Times New Roman"/>
          <w:szCs w:val="24"/>
        </w:rPr>
      </w:r>
    </w:p>
    <w:p>
      <w:pPr>
        <w:rPr>
          <w:rFonts w:eastAsia="Calibri" w:cs="Times New Roman"/>
        </w:rPr>
      </w:pPr>
      <w:r>
        <w:rPr>
          <w:rFonts w:eastAsia="Calibri" w:cs="Times New Roman"/>
        </w:rPr>
      </w:r>
      <w:r>
        <w:rPr>
          <w:rFonts w:eastAsia="Calibri" w:cs="Times New Roman"/>
        </w:rPr>
      </w:r>
    </w:p>
    <w:p>
      <w:pPr>
        <w:pStyle w:val="717"/>
        <w:ind w:left="0" w:firstLine="0"/>
      </w:pPr>
      <w:r/>
      <w:bookmarkStart w:id="320" w:name="_Toc53927734"/>
      <w:r/>
      <w:bookmarkStart w:id="321" w:name="_Toc204085773"/>
      <w:r>
        <w:t xml:space="preserve">Часть 10. УСТРОЙСТВО РЕЗЕРВНЫХ НАСОСНЫХ СТАНЦИЙ</w:t>
      </w:r>
      <w:bookmarkEnd w:id="320"/>
      <w:r/>
      <w:bookmarkEnd w:id="321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567"/>
        <w:rPr>
          <w:rFonts w:eastAsia="Calibri" w:cs="Times New Roman"/>
        </w:rPr>
      </w:pPr>
      <w:r>
        <w:rPr>
          <w:rFonts w:cs="Times New Roman"/>
        </w:rPr>
        <w:t xml:space="preserve">Установка резервных насосных станции не требуется.</w:t>
      </w:r>
      <w:r>
        <w:rPr>
          <w:rFonts w:eastAsia="Calibri" w:cs="Times New Roman"/>
        </w:rPr>
      </w:r>
    </w:p>
    <w:p>
      <w:pPr>
        <w:rPr>
          <w:rFonts w:eastAsia="Calibri" w:cs="Times New Roman"/>
        </w:rPr>
      </w:pPr>
      <w:r>
        <w:rPr>
          <w:rFonts w:eastAsia="Calibri" w:cs="Times New Roman"/>
        </w:rPr>
      </w:r>
      <w:r>
        <w:rPr>
          <w:rFonts w:eastAsia="Calibri" w:cs="Times New Roman"/>
        </w:rPr>
      </w:r>
    </w:p>
    <w:p>
      <w:pPr>
        <w:pStyle w:val="717"/>
        <w:ind w:left="0" w:firstLine="0"/>
      </w:pPr>
      <w:r/>
      <w:bookmarkStart w:id="322" w:name="_Toc53927735"/>
      <w:r/>
      <w:bookmarkStart w:id="323" w:name="_Toc204085774"/>
      <w:r>
        <w:t xml:space="preserve">Часть 11. УСТАНОВКА БАКОВ-АККУМУЛЯТОРОВ</w:t>
      </w:r>
      <w:bookmarkEnd w:id="322"/>
      <w:r/>
      <w:bookmarkEnd w:id="323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567"/>
        <w:rPr>
          <w:rFonts w:eastAsia="Calibri" w:cs="Times New Roman"/>
        </w:rPr>
      </w:pPr>
      <w:r>
        <w:rPr>
          <w:rFonts w:cs="Times New Roman"/>
        </w:rPr>
        <w:t xml:space="preserve">Установка баков-аккумуляторов не </w:t>
      </w:r>
      <w:r>
        <w:rPr>
          <w:rFonts w:cs="Times New Roman"/>
          <w:szCs w:val="24"/>
        </w:rPr>
        <w:t xml:space="preserve">планируется</w:t>
      </w:r>
      <w:r>
        <w:rPr>
          <w:rFonts w:cs="Times New Roman"/>
        </w:rPr>
        <w:t xml:space="preserve">.</w:t>
      </w:r>
      <w:r>
        <w:rPr>
          <w:rFonts w:eastAsia="Calibri"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324" w:name="_Toc46129149"/>
      <w:r/>
      <w:bookmarkStart w:id="325" w:name="_Toc53927724"/>
      <w:r/>
      <w:bookmarkStart w:id="326" w:name="_Toc204085775"/>
      <w:r>
        <w:t xml:space="preserve">Часть 1</w:t>
      </w:r>
      <w:r>
        <w:t xml:space="preserve">2</w:t>
      </w:r>
      <w:r>
        <w:t xml:space="preserve">. ОПИСАНИЕ ИЗМЕНЕНИЙ В ПОКАЗАТЕЛЯХ НАДЕЖНОСТИ ТЕПЛОСНАБЖЕНИЯ ЗА ПЕРИОД, ПРЕДШЕСТВУЮЩИЙ АКТУАЛИЗАЦИИ СХЕМЫ ТЕПЛОСНАБЖЕНИЯ, С УЧЕТОМ ВВЕДЕННЫХ В ЭКСПЛУАТАЦИЮ НОВЫХ И РЕКОНСТРУИРОВАННЫХ ТЕПЛОВЫХ СЕТЕЙ, И СООРУЖЕНИЙ НА НИХ</w:t>
      </w:r>
      <w:bookmarkEnd w:id="324"/>
      <w:r/>
      <w:bookmarkEnd w:id="325"/>
      <w:r/>
      <w:bookmarkEnd w:id="326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946"/>
        <w:ind w:left="685"/>
        <w:rPr>
          <w:spacing w:val="-1"/>
        </w:rPr>
      </w:pPr>
      <w:r>
        <w:rPr>
          <w:spacing w:val="-1"/>
        </w:rPr>
        <w:t xml:space="preserve">Изменения не зафиксированы</w:t>
      </w:r>
      <w:r>
        <w:rPr>
          <w:spacing w:val="-1"/>
        </w:rPr>
        <w:t xml:space="preserve">.</w:t>
      </w:r>
      <w:r>
        <w:rPr>
          <w:spacing w:val="-1"/>
        </w:rPr>
      </w:r>
    </w:p>
    <w:p>
      <w:pPr>
        <w:pStyle w:val="946"/>
        <w:ind w:left="685"/>
      </w:pPr>
      <w:r/>
      <w:r/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cs="Times New Roman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9" w:footer="709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  <w:rPr>
          <w:sz w:val="28"/>
          <w:szCs w:val="28"/>
        </w:rPr>
      </w:pPr>
      <w:r/>
      <w:bookmarkStart w:id="327" w:name="_Hlk117522071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"file:///D:\\Source\\Ses\\Docs\\Оглавление%20том%202%20%20О.М..docx" \l "bookmark125" </w:instrText>
      </w:r>
      <w:r>
        <w:rPr>
          <w:sz w:val="28"/>
          <w:szCs w:val="28"/>
        </w:rPr>
        <w:fldChar w:fldCharType="separate"/>
      </w:r>
      <w:bookmarkStart w:id="328" w:name="_Toc45625271"/>
      <w:r/>
      <w:bookmarkStart w:id="329" w:name="_Toc204085776"/>
      <w:r>
        <w:rPr>
          <w:sz w:val="28"/>
          <w:szCs w:val="28"/>
        </w:rPr>
        <w:t xml:space="preserve">ГЛАВА 12. </w:t>
      </w:r>
      <w:r>
        <w:rPr>
          <w:sz w:val="28"/>
          <w:szCs w:val="28"/>
        </w:rPr>
        <w:fldChar w:fldCharType="end"/>
      </w:r>
      <w:r>
        <w:rPr>
          <w:sz w:val="28"/>
        </w:rPr>
        <w:t xml:space="preserve">ОБОСНОВАНИЕ ИНВЕСТИЦИЙ В СТРОИТЕЛЬСТВО, РЕКОНСТРУКЦИЮ, ТЕХНИЧЕСКОЕ ПЕРЕВООРУЖЕНИЕ И (ИЛИ) МОДЕРНИЗАЦИЮ</w:t>
      </w:r>
      <w:bookmarkEnd w:id="328"/>
      <w:r/>
      <w:bookmarkEnd w:id="329"/>
      <w:r>
        <w:rPr>
          <w:sz w:val="32"/>
          <w:szCs w:val="28"/>
        </w:rPr>
        <w:t xml:space="preserve"> </w:t>
      </w:r>
      <w:r>
        <w:rPr>
          <w:sz w:val="28"/>
          <w:szCs w:val="28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50" w:tooltip="file:///D:\Source\Ses\Docs\Оглавление%20том%202%20%20О.М..docx#bookmark126" w:anchor="bookmark126" w:history="1">
        <w:bookmarkStart w:id="330" w:name="_Toc45625272"/>
        <w:bookmarkStart w:id="331" w:name="_Toc204085777"/>
        <w:r>
          <w:t xml:space="preserve">Часть 1. </w:t>
        </w:r>
      </w:hyperlink>
      <w:r>
        <w:t xml:space="preserve"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  <w:bookmarkEnd w:id="330"/>
      <w:r/>
      <w:bookmarkEnd w:id="331"/>
      <w:r/>
      <w:r/>
    </w:p>
    <w:p>
      <w:pPr>
        <w:pStyle w:val="728"/>
        <w:ind w:firstLine="709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ind w:firstLine="709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В таблице 12.1.1 представлена оценка финансовых потребностей для осуществления строительства, реконструкцию, техническое перевооружение и (или) модернизацию источников тепловой энергии.</w:t>
      </w:r>
      <w:bookmarkEnd w:id="327"/>
      <w:r>
        <w:rPr>
          <w:rFonts w:cs="Times New Roman"/>
          <w:lang w:eastAsia="ru-RU"/>
        </w:rPr>
      </w:r>
    </w:p>
    <w:p>
      <w:pPr>
        <w:pStyle w:val="728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12.1.1 - Оценка финансовых потребностей для осуществления строительства, реконструкцию, техническое перевооружение и (или) модернизацию источников тепловой энергии</w:t>
      </w:r>
      <w:r>
        <w:rPr>
          <w:rFonts w:cs="Times New Roman"/>
        </w:rPr>
      </w:r>
    </w:p>
    <w:tbl>
      <w:tblPr>
        <w:tblW w:w="2239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5745"/>
        <w:gridCol w:w="2165"/>
        <w:gridCol w:w="9"/>
        <w:gridCol w:w="1032"/>
        <w:gridCol w:w="9"/>
        <w:gridCol w:w="1032"/>
        <w:gridCol w:w="9"/>
        <w:gridCol w:w="1032"/>
        <w:gridCol w:w="9"/>
        <w:gridCol w:w="794"/>
        <w:gridCol w:w="9"/>
        <w:gridCol w:w="812"/>
        <w:gridCol w:w="9"/>
        <w:gridCol w:w="1134"/>
        <w:gridCol w:w="9"/>
        <w:gridCol w:w="8"/>
        <w:gridCol w:w="828"/>
        <w:gridCol w:w="9"/>
        <w:gridCol w:w="8"/>
        <w:gridCol w:w="828"/>
        <w:gridCol w:w="9"/>
        <w:gridCol w:w="8"/>
        <w:gridCol w:w="828"/>
        <w:gridCol w:w="9"/>
        <w:gridCol w:w="8"/>
        <w:gridCol w:w="828"/>
        <w:gridCol w:w="9"/>
        <w:gridCol w:w="8"/>
        <w:gridCol w:w="828"/>
        <w:gridCol w:w="10"/>
        <w:gridCol w:w="7"/>
        <w:gridCol w:w="828"/>
        <w:gridCol w:w="10"/>
        <w:gridCol w:w="7"/>
        <w:gridCol w:w="828"/>
        <w:gridCol w:w="10"/>
        <w:gridCol w:w="7"/>
        <w:gridCol w:w="828"/>
        <w:gridCol w:w="10"/>
        <w:gridCol w:w="7"/>
        <w:gridCol w:w="1329"/>
      </w:tblGrid>
      <w:tr>
        <w:tblPrEx/>
        <w:trPr>
          <w:trHeight w:val="301"/>
          <w:tblHeader/>
        </w:trPr>
        <w:tc>
          <w:tcPr>
            <w:shd w:val="clear" w:color="000000" w:fill="f2f2f2"/>
            <w:tcW w:w="4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57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Наименование мероприятия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W w:w="21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Источник финансирования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9"/>
            <w:shd w:val="clear" w:color="000000" w:fill="f2f2f2"/>
            <w:tcW w:w="13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Сумма освоения, тыс. рублей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  <w:tblHeader/>
        </w:trPr>
        <w:tc>
          <w:tcPr>
            <w:tcW w:w="49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574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2f2f2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2f2f2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2f2f2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2f2f2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2f2f2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2f2f2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2f2f2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2f2f2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2f2f2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2f2f2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2f2f2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2f2f2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2f2f2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2f2f2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2f2f2"/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2039-2043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d9e2f3"/>
            <w:tcW w:w="223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АО «МЭС»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ffffff"/>
            <w:tcW w:w="22397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г. Заполярный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shd w:val="clear" w:color="000000" w:fill="ffffff"/>
            <w:tcW w:w="27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13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ffffff"/>
            <w:tcW w:w="22397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Замена аккумуляторного бака РВС-1000 ст. № 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ИП (амортизация, прибыль направленная на инвестиции, иные собственные средства)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29286,0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Установка автоматизированной запорной арматуры с электроприводом на водогрейных котлах ПТВМ-50 ст. № 7 и 8 (ДУ 400)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1281,32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Замена пароводяных подогревателей ППРУ-630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4807,02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Достижение плановых значений показателей надежности и энергетической эффективности путем замены поверхностей нагрева водогрейного котла ПТВМ-50 ст. № 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40687,51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Достижение плановых значений показателей надежности и энергетической эффективности путем замены поверхностей нагрева водогрейного котла КВГМ-50 ст. № 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31477,71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приведению состояния кровли здания котельной п.г.т. Никель в соответствие требованиям промышленной безопасности с применением энергосберегающих технологий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32557,55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33990,09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приведению состояния фасада здания котельной п.г.т. Никель в соответствие требованиям промышленной безопасности с применением энергосберегающих технологий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29364,55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30656,59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ЭЦ-2 п.г.т. Никель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W w:w="8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Итого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169461,7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64646,7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3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d9e2f3"/>
            <w:tcW w:w="223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ПАО «ТГК-1»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ffffff"/>
            <w:tcW w:w="22397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shd w:val="clear" w:color="000000" w:fill="ffffff"/>
            <w:tcW w:w="27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13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ffffff"/>
            <w:tcW w:w="22397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shd w:val="clear" w:color="000000" w:fill="ffffff"/>
            <w:tcW w:w="27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13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d9e2f3"/>
            <w:tcW w:w="223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ООО «Теплонорд»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ffffff"/>
            <w:tcW w:w="22397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Установка прибора учета отпуска тепловой энергии и теплоносителя в сеть марки "Взлет" на котельной №51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304,08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Установка ВПУ теплоносителя марки "Комплексон" на котельной №51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404,88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13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shd w:val="clear" w:color="000000" w:fill="ffffff"/>
            <w:tcW w:w="27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13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ffffff"/>
            <w:tcW w:w="22397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shd w:val="clear" w:color="000000" w:fill="ffffff"/>
            <w:tcW w:w="27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13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ffffff"/>
            <w:tcW w:w="22397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№4/115 ж/д ст. Печенга 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shd w:val="clear" w:color="000000" w:fill="ffffff"/>
            <w:tcW w:w="27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13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ffffff"/>
            <w:tcW w:w="22397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№4/179 ж/д ст. Печенга 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shd w:val="clear" w:color="000000" w:fill="ffffff"/>
            <w:tcW w:w="27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13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ffffff"/>
            <w:tcW w:w="22397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shd w:val="clear" w:color="000000" w:fill="ffffff"/>
            <w:tcW w:w="27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13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d9e2f3"/>
            <w:tcW w:w="223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ООО «ПромВоенСтрой»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auto" w:fill="auto"/>
            <w:tcW w:w="2239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Проектирование с прохождением экспертизы и реконструкция котельной № 13/55 п.г.т.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Средства концессионера, капитальный грант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4709,4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16679,46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Установка комплекса химводоподготовки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Замена двух котлов 1,25 Мвт.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Замена насосов сетевого контура центрального отопления - 2 шт., замена насосов сетевого контура горячего водоснабжения – 2 шт.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Установка ДГУ ЭД100-Т400-2РН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системы наружного освещения котельной;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системы освещения котельных залов котельной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8"/>
            <w:shd w:val="clear" w:color="auto" w:fill="auto"/>
            <w:tcW w:w="507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auto" w:fill="auto"/>
            <w:tcW w:w="2239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Проектирование с прохождением экспертизы и реконструкция котельной № 13/73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Средства концессионера, капитальный грант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30819,4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39368,81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Установка узла учета тепловой энергии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Установка пяти котлов КВМ-1,0 с механической топкой, установка горизонтального скребкового транспортера шлако-золоудаления; замена транспортера подачи угля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насосов центрального отопления;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насосов на ГВС,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дымососов, вентиляторов,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2-х теплообменных аппаратов системы ЦО и 3-х теплообменных аппаратов системы ГВС;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циклонов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Установка дополнительного БАГВ (Бак аккумулятор горячей воды)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системы наружного освещения котельной;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системы освещения котельных залов котельной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8"/>
            <w:shd w:val="clear" w:color="auto" w:fill="auto"/>
            <w:tcW w:w="507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auto" w:fill="auto"/>
            <w:tcW w:w="2239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Проектирование с прохождением экспертизы и реконструкция котельной № 42/138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Средства концессионера, капитальный грант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5 912,63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44 575,07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Замена теплообменных аппаратов (водо-водяных) тип:</w:t>
            </w:r>
            <w:r>
              <w:t xml:space="preserve">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ВВП 12-219-4000 - 18 секций либо аналог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Замена двух котлов КВр-1,5 Мвт.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насосов центрального отопления котлового контура;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насосов ГВС котлового контура;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насосов центрального отопления;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насосов на ГВС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Установка ДГУ ЭД240-Т400-2РН.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Ремонт промышленной стальной отдельно стоящей дымовой трубы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системы наружного освещения котельной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системы освещения котельных залов котельной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Установка узла учета тепловой энергии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БАГВ (Бак аккумулятор горячей воды)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8"/>
            <w:shd w:val="clear" w:color="auto" w:fill="auto"/>
            <w:tcW w:w="507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auto" w:fill="auto"/>
            <w:tcW w:w="2239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Проектирование с прохождением экспертизы и реконструкция котельной № 4/152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Средства концессионера, капитальный грант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24 829,40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29 836,56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Установка комплекса химводоподготовки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Установка четырех котлов КВМ-1,0 МВт с механической топкой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2-х дымососов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2-х теплообменных аппаратов системы центрального отопления и 2-х теплообменных аппаратов системы горячего водоснабжения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2-х насосов сетевого контура центрального отопления и 2-х насосов контура горячего водоснабжения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2-х насосов циркуляционного контура и 2-х насосов подпиточных насосов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Установка дополнительного БАГВ (Бак аккумулятор горячей воды)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системы наружного освещения котельной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color w:val="000000"/>
                <w:sz w:val="20"/>
              </w:rPr>
              <w:t xml:space="preserve">Замена системы освещения котельных залов котельной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tcW w:w="216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8"/>
            <w:shd w:val="clear" w:color="auto" w:fill="auto"/>
            <w:tcW w:w="507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auto" w:fill="auto"/>
            <w:tcW w:w="2239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3 н.п. Лиинахамари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Реконструкция котельной № 3 согласно концессионному соглашению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Средства концессионера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4110,27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3528,62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Замена подогревателей системы центрального отопления (2 шт.)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Средства концессионера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2565,87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Замена на аналогичные: насос сети центрального отопления, насос сети горячего водоснабжения, насос циркуляции внутреннего контура.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Средства концессионера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1544,403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Замена промышленной стальной отдельно стоящей дымовой трубы.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Средства концессионера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3528,62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shd w:val="clear" w:color="auto" w:fill="auto"/>
            <w:tcW w:w="21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auto" w:fill="auto"/>
            <w:tcW w:w="2239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Котельные № 5/149, 5/146, 15/176, 5/106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Установка прибора учета отпуска тепловой энергии и теплоносителя в сеть марки "Взлет"-4 шт. на котельных №5/106, №15/146, №5/149, №5/176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1013,6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Установка ВПУ теплоносителя марки «Комплексон» — 4 шт. на котельных №5/106, №15/146, №5/149, №5/176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1349,6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14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134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auto" w:fill="auto"/>
            <w:tcW w:w="49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котельных н.п. Луостари № 5/149, 5/146, 15/176, 5/106 на газ, включая проектно-изыскательные работы и техническое перевооружение котельной)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04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03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82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8"/>
            <w:shd w:val="clear" w:color="auto" w:fill="auto"/>
            <w:tcW w:w="5378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845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1336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W w:w="8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Итого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70381,1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130459,9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4542,22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1349,6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1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3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d9e2f3"/>
            <w:tcW w:w="223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ФГБУ «ЦЖКУ» МО РФ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ffffff"/>
            <w:tcW w:w="22397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Котельные ФГБУ «ЦЖКУ» МО РФ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Перевод котельных на газ, включая проектно-изыскательные работы и техническое перевооружение котельных: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пгт. Печенга № 25/52, 18/65, 13/66, 21/90, 21/110, 21/149, 25/46, 21/172;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н.п. Вайда-Губа № 69/6;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н.п. Спутник № 12/150, 12/151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18"/>
            <w:shd w:val="clear" w:color="000000" w:fill="ffffff"/>
            <w:tcW w:w="53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согласно ПСД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shd w:val="clear" w:color="000000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3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d9e2f3"/>
            <w:tcW w:w="223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Новые котельные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42"/>
            <w:shd w:val="clear" w:color="000000" w:fill="ffffff"/>
            <w:tcW w:w="22397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Строительство новых котельных, согласно генеральному плану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Строительство нового источника мощностью 51,6 Гкал/ч и тепловых сетей в п.г.т. Никель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1"/>
            <w:shd w:val="clear" w:color="000000" w:fill="ffffff"/>
            <w:tcW w:w="10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Согласно ПСД</w:t>
            </w: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shd w:val="clear" w:color="000000" w:fill="ffffff"/>
            <w:tcW w:w="4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5745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Строительство нового источника мощностью 5,2 Гкал/ч и тепловых сетей в г. Заполярный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W w:w="2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БС, ВС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000000" w:fill="ffffff"/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31"/>
            <w:shd w:val="clear" w:color="000000" w:fill="ffffff"/>
            <w:tcW w:w="10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Согласно ПСД</w:t>
            </w:r>
            <w:r>
              <w:rPr>
                <w:rFonts w:ascii="Calibri" w:hAnsi="Calibri" w:eastAsia="Times New Roman" w:cs="Calibri"/>
                <w:sz w:val="20"/>
                <w:szCs w:val="20"/>
                <w:lang w:eastAsia="ru-RU"/>
              </w:rPr>
            </w:r>
          </w:p>
        </w:tc>
      </w:tr>
    </w:tbl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*БС - бюджетные средства, АС - амортизационные средства, ИС – инвестиционные средства, ВБ – внебюджетные средства.</w:t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ind w:firstLine="709"/>
        <w:jc w:val="both"/>
        <w:rPr>
          <w:rFonts w:cs="Times New Roman"/>
          <w:lang w:eastAsia="ru-RU"/>
        </w:rPr>
      </w:pPr>
      <w:r/>
      <w:bookmarkStart w:id="332" w:name="_Hlk117522192"/>
      <w:r>
        <w:rPr>
          <w:rFonts w:cs="Times New Roman"/>
          <w:lang w:eastAsia="ru-RU"/>
        </w:rPr>
        <w:t xml:space="preserve">В таблице 12.1.2 представлена оценка финансовых потребностей для осуществления строительства, реконструкции, технического перевооружении и (или) модернизации тепловых сетей сооружений на них.</w:t>
      </w:r>
      <w:bookmarkEnd w:id="332"/>
      <w:r>
        <w:rPr>
          <w:rFonts w:cs="Times New Roman"/>
          <w:lang w:eastAsia="ru-RU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12.1.2 - Оценка финансовых потребностей для осуществления строительства, реконструкции, технического перевооружении и (или) модернизации тепловых сетей сооружений на них</w:t>
      </w:r>
      <w:r>
        <w:rPr>
          <w:rFonts w:cs="Times New Roman"/>
        </w:rPr>
      </w:r>
    </w:p>
    <w:tbl>
      <w:tblPr>
        <w:tblW w:w="221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"/>
        <w:gridCol w:w="4886"/>
        <w:gridCol w:w="1692"/>
        <w:gridCol w:w="996"/>
        <w:gridCol w:w="1052"/>
        <w:gridCol w:w="939"/>
        <w:gridCol w:w="1165"/>
        <w:gridCol w:w="939"/>
        <w:gridCol w:w="939"/>
        <w:gridCol w:w="1052"/>
        <w:gridCol w:w="1165"/>
        <w:gridCol w:w="1052"/>
        <w:gridCol w:w="1052"/>
        <w:gridCol w:w="939"/>
        <w:gridCol w:w="920"/>
        <w:gridCol w:w="920"/>
        <w:gridCol w:w="939"/>
        <w:gridCol w:w="1108"/>
        <w:gridCol w:w="11"/>
      </w:tblGrid>
      <w:tr>
        <w:tblPrEx/>
        <w:trPr>
          <w:trHeight w:val="301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/>
            <w:bookmarkStart w:id="333" w:name="_Hlk204065083"/>
            <w:r>
              <w:rPr>
                <w:rFonts w:cs="Times New Roman"/>
                <w:sz w:val="20"/>
                <w:lang w:val="en-US"/>
              </w:rPr>
              <w:t xml:space="preserve">№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Наименование мероприятия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Источник финансирования</w:t>
            </w:r>
            <w:r>
              <w:rPr>
                <w:rFonts w:cs="Times New Roman"/>
                <w:sz w:val="20"/>
              </w:rPr>
            </w:r>
          </w:p>
        </w:tc>
        <w:tc>
          <w:tcPr>
            <w:gridSpan w:val="16"/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Сумма освоения, тыс. рублей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2025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2026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2027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2028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2029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2030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2031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2032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2033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2034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2035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2036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2037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2038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2039-2043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АО «МЭС»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Котельная ЭЦ-2 пгт. Никель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Реконструкция тепловых сетей от ТК-162 до ТК-165 с вводами в дд. 16, 18, 23, 23а, 25, 27 по пр-ту Гвардейскому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ИП (амортизация, прибыль направленная на инвестиции, иные собственные средства)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29669,14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Реконструкция тепловых сетей по ул. Спортивной от ТК б/н до д. 13 (СОШ № 20)</w:t>
            </w:r>
            <w:r>
              <w:rPr>
                <w:rFonts w:cs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1864,99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Реконструкция тепловых сетей по пр-ту Гвардейскому от ТК б/н до д. 21 (СОШ № 1)</w:t>
            </w:r>
            <w:r>
              <w:rPr>
                <w:rFonts w:cs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2026,58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Реконструкция тепловых сетей по пр-ту Гвардейскому от д. 24 до д. 24а</w:t>
            </w:r>
            <w:r>
              <w:rPr>
                <w:rFonts w:cs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1005,29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Реконструкция тепловых сетей от ТК-106 (+ 10 м) до дд. 13, 15, 17 по ул. Мира</w:t>
            </w:r>
            <w:r>
              <w:rPr>
                <w:rFonts w:cs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3792,91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6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Закольцовка сетей горячего водоснабжения от котельной ЭЦ-2 </w:t>
            </w:r>
            <w:r>
              <w:rPr>
                <w:rFonts w:cs="Times New Roman"/>
                <w:sz w:val="20"/>
              </w:rPr>
              <w:t xml:space="preserve">далее по ул. Спортивной и вверх до пр. Гвардейский (ТК-13), далее вдоль по пр. Гвардейский до ул. Пионерская, оттуда до ул. Мира (ТК- 110), далее по ул. Мира до ТК 120, после ТК по ул. Советская до котельной протяжённостью 4500,0 м в однотрубном исчислении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ВС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10262,4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10262,4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10262,4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10262,4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3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Итого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10262,4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48621,31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10262,4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10262,4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МУП «Тепловые сети»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Котельная "Заполярный"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Рекомендованные мероприятия по реконструкция тепловых сетей в зоне действия котельной г. Заполярный 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БС, ВБ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108480,0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3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Итого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27120,0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108480,0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Котельная № 51 нп. Корзуново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Замена сетей, исчерпавших эксплуатационный ресурс в зоне действия котельной №51 (диаметр 50,0 мм, протяжённость 1064 п.м.)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БС, ВС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4256,21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4256,21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3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Итого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4256,21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4256,21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 13/55 пгт. Печенга, ш. Печенгское (в.г. №13)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Проектирование с прохождением экспертизы и реконструкция тепловых сетей котельной № 13/55: Замена 1354 п.м. в однотрубном исчислении. По участкам: От ТК в районе </w:t>
            </w:r>
            <w:r>
              <w:rPr>
                <w:rFonts w:cs="Times New Roman"/>
                <w:sz w:val="20"/>
              </w:rPr>
              <w:t xml:space="preserve">котельной № 13/55 до угла МКД № 10; От МКД № 10 до МКД № 6 через МКД № 12 и МКД № 11; Ответвления от МКД № 10 до МКД № 8, от МКД № 12 до МКД № 7; от МКД № 11 до МКД № 6; От угла МКД № 11 до Дома офицеров; От угла МКД № 11 до МКД № 4; От МКД № 4 до МКД № 3.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Средства концессионера, капитальный грант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2 798,32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25 062,65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 13/73 пгт. Печенга, ул. Стадионная (в.г. №13)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Проектирование с прохождением экспертизы и реконструкция тепловых сетей и сетей горячего водоснабжения котельной № 13/73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Средства концессионера, капитальный грант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2 450,56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43 201,69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1.1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  <w:i/>
                <w:iCs/>
                <w:sz w:val="20"/>
              </w:rPr>
            </w:pPr>
            <w:r>
              <w:rPr>
                <w:rFonts w:cs="Times New Roman"/>
                <w:i/>
                <w:iCs/>
                <w:sz w:val="20"/>
              </w:rPr>
              <w:t xml:space="preserve">Реконструкция тепловых сетей: Замена 1181 п.м. тепловой сети в однотрубном исчислении.</w:t>
            </w:r>
            <w:r>
              <w:rPr>
                <w:rFonts w:cs="Times New Roman"/>
                <w:i/>
                <w:iCs/>
                <w:sz w:val="20"/>
              </w:rPr>
              <w:br/>
              <w:t xml:space="preserve">По участкам: От котельной до узла распределения точка «А» в районе ТК-1; От точки «А» в районе ТК-1 в сторону МКД № 7 до МКД № 8</w:t>
            </w:r>
            <w:r>
              <w:rPr>
                <w:rFonts w:cs="Times New Roman"/>
                <w:i/>
                <w:iCs/>
                <w:sz w:val="20"/>
              </w:rPr>
              <w:t xml:space="preserve"> </w:t>
            </w:r>
            <w:r>
              <w:rPr>
                <w:rFonts w:cs="Times New Roman"/>
                <w:i/>
                <w:iCs/>
                <w:sz w:val="20"/>
              </w:rPr>
              <w:t xml:space="preserve">через МКД № 5 с ответвлением на МКД № 10; От точки «А» в районе ТК-1 в сторону МКД № 4 до МКД № 9 через МКД № </w:t>
            </w:r>
            <w:r>
              <w:rPr>
                <w:rFonts w:cs="Times New Roman"/>
                <w:i/>
                <w:iCs/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1.2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  <w:i/>
                <w:iCs/>
                <w:sz w:val="20"/>
              </w:rPr>
            </w:pPr>
            <w:r>
              <w:rPr>
                <w:rFonts w:cs="Times New Roman"/>
                <w:i/>
                <w:iCs/>
                <w:sz w:val="20"/>
              </w:rPr>
              <w:t xml:space="preserve">Реконструкця сетей горячего водоснабжения: Замена 1181 п.м. сети горячего водоснабжения в однотрубном исчислении.</w:t>
            </w:r>
            <w:r>
              <w:rPr>
                <w:rFonts w:cs="Times New Roman"/>
                <w:i/>
                <w:iCs/>
                <w:sz w:val="20"/>
              </w:rPr>
              <w:br/>
              <w:t xml:space="preserve">По участкам: От котельной до узла распределения точка «А» в районе ТК-1; От точки «А» в районе ТК-1 в сторону МКД № 7 до МКД № 8</w:t>
            </w:r>
            <w:r>
              <w:rPr>
                <w:rFonts w:cs="Times New Roman"/>
                <w:i/>
                <w:iCs/>
                <w:sz w:val="20"/>
              </w:rPr>
              <w:t xml:space="preserve"> </w:t>
            </w:r>
            <w:r>
              <w:rPr>
                <w:rFonts w:cs="Times New Roman"/>
                <w:i/>
                <w:iCs/>
                <w:sz w:val="20"/>
              </w:rPr>
              <w:t xml:space="preserve">через МКД № 5 с ответвлением на МКД № 10; От точки «А» в районе ТК-1 в сторону МКД № 4 до МКД № 9 через МКД № 3.</w:t>
            </w:r>
            <w:r>
              <w:rPr>
                <w:rFonts w:cs="Times New Roman"/>
                <w:i/>
                <w:iCs/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 42/138 нп. Спутник (в.г. №42)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Проектирование с прохождением экспертизы и реконструкция тепловых сетей и сетей горячего водоснабжения котельной № 42/138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Средства концессионера, капитальный грант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4 292,82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44 061,55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1.1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Реконструкция тепловых сетей: Замена - 2078 п.м. в однотрубном исчислении. По участкам: От котельной № 138 до ТК № 2 (возле МКД № 16); От центральной трассы до МКД № 8 ; От ТК №2 до МКД № 16; От ТК № 2 до</w:t>
            </w:r>
            <w:r>
              <w:rPr>
                <w:rFonts w:cs="Times New Roman"/>
                <w:sz w:val="20"/>
              </w:rPr>
              <w:t xml:space="preserve"> МКД № 19 ; От ТК 2 до ТК № 3 (возле МКД 17) ; От тк № 3 до МКД № 17; От ТК 3 до МКД № 21; От ТК 3 до МКД № 20; От котельной № 138 до ТК № 1 (возле КПП); От ТК № 1 до детского сада № 13; От центральной трассы до МКД № 18; От центральной трассы до МКД № 20.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1.2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Реконструкция сетей горячего водоснабжения: Замена 1778 п.м. в однотрубном исчислении. По</w:t>
            </w:r>
            <w:r>
              <w:rPr>
                <w:rFonts w:cs="Times New Roman"/>
                <w:sz w:val="20"/>
              </w:rPr>
              <w:t xml:space="preserve"> участкам: От котельной № 138 до ТК № 2 (возле МКД № 16); От ТК №2 до МКД № 16; От ТК № 2 до МКД № 19; От ТК 2 до ТК № 3 (возле МКД 17); От тк № 3 до МКД № 17; От ТК 3 до МКД № 21; От ТК 3 до МКД № 20; От компенсатора котельной № 138 до ТК № 1 (возле КПП).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 4/152 ж/д ст. Печенга (в.г. №4)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Проектирование с прохождением экспертизы и реконструкция тепловых сетей и сетей горячего водоснабжения котельной № 4/152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Средства концессионера, капитальный грант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1 044,40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6 259,98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1.1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  <w:i/>
                <w:iCs/>
                <w:sz w:val="20"/>
              </w:rPr>
            </w:pPr>
            <w:r>
              <w:rPr>
                <w:rFonts w:cs="Times New Roman"/>
                <w:i/>
                <w:iCs/>
                <w:sz w:val="20"/>
              </w:rPr>
              <w:t xml:space="preserve">Реконструкция тепловых сетей: Замена 336 п.м. тепловой сети в однот</w:t>
            </w:r>
            <w:r>
              <w:rPr>
                <w:rFonts w:cs="Times New Roman"/>
                <w:i/>
                <w:iCs/>
                <w:sz w:val="20"/>
              </w:rPr>
              <w:t xml:space="preserve">рубном исчислении. По участкам: От точки врезки от центральной трассы до МКД № 2, транзитом через МКД № 2 до МКД № 4; От точки врезки от центральной трассы до МКД № 3; От точки врезки от центральной трассы до МКД № 1; От угла МКД № 1 до ТК № 1 возле дороги</w:t>
            </w:r>
            <w:r>
              <w:rPr>
                <w:rFonts w:cs="Times New Roman"/>
                <w:i/>
                <w:iCs/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1.2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  <w:i/>
                <w:iCs/>
                <w:sz w:val="20"/>
              </w:rPr>
            </w:pPr>
            <w:r>
              <w:rPr>
                <w:rFonts w:cs="Times New Roman"/>
                <w:i/>
                <w:iCs/>
                <w:sz w:val="20"/>
              </w:rPr>
              <w:t xml:space="preserve">Реконструкция сетей горячего водоснабжения: Замена сети гор</w:t>
            </w:r>
            <w:r>
              <w:rPr>
                <w:rFonts w:cs="Times New Roman"/>
                <w:i/>
                <w:iCs/>
                <w:sz w:val="20"/>
              </w:rPr>
              <w:t xml:space="preserve">ячего водоснабжения 172 п.м. в однотрубном исчислении. По участкам: От точки врезки от центральной трассы до МКД № 2, транзитом через МКД № 2 до в МКД № 4; От точки врезки от центральной трассы до МКД № 3; От точки врезки от центральной трассы до в МКД № 1</w:t>
            </w:r>
            <w:r>
              <w:rPr>
                <w:rFonts w:cs="Times New Roman"/>
                <w:i/>
                <w:iCs/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 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Котельные н.п. Луостари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Замена сетей, исчерпавших эксплуатационный ресурс в зоне действия котельных №15/146, №15/176, №5/106, №5/149 (Диаметр 50,0 мм - протяжённость 831 п.м.; Диаметр 100,0 мм - протяжённость 1772,4 п.м.; Диаметр 125,0 мм - протяжённость 796,1 п.м.)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ВС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3884,51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3884,51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3884,51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3884,51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3884,51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3884,51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3884,51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3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Итого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10586,1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122470,4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3884,51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3884,51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3884,51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3884,51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3884,51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3884,51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№9/49 пгт. Печенга (в.г. №9)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Рекомендованные мероприятия по замене тепловых сетей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БС, ВБ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6757,25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4842,78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№21/90 пгт.</w:t>
            </w:r>
            <w:r>
              <w:rPr>
                <w:rFonts w:cs="Times New Roman"/>
                <w:sz w:val="20"/>
              </w:rPr>
              <w:t xml:space="preserve"> </w:t>
            </w:r>
            <w:r>
              <w:rPr>
                <w:rFonts w:cs="Times New Roman"/>
                <w:sz w:val="20"/>
              </w:rPr>
              <w:t xml:space="preserve">Печенга</w:t>
            </w:r>
            <w:r>
              <w:rPr>
                <w:rFonts w:cs="Times New Roman"/>
                <w:sz w:val="20"/>
              </w:rPr>
              <w:t xml:space="preserve"> </w:t>
            </w:r>
            <w:r>
              <w:rPr>
                <w:rFonts w:cs="Times New Roman"/>
                <w:sz w:val="20"/>
              </w:rPr>
              <w:t xml:space="preserve">(в.г. №21)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Рекомендованные мероприятия по замене тепловых сетей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БС, ВБ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472,4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№21/110 пгт. Печенга</w:t>
            </w:r>
            <w:r>
              <w:rPr>
                <w:rFonts w:cs="Times New Roman"/>
                <w:sz w:val="20"/>
              </w:rPr>
              <w:t xml:space="preserve"> </w:t>
            </w:r>
            <w:r>
              <w:rPr>
                <w:rFonts w:cs="Times New Roman"/>
                <w:sz w:val="20"/>
              </w:rPr>
              <w:t xml:space="preserve">(в.г. №21)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Рекомендованные мероприятия по замене тепловых сетей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БС, ВБ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8115,69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4470,28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3122,36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3138,63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8115,69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2984,5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724,85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№21/149 пгт. Печенга</w:t>
            </w:r>
            <w:r>
              <w:rPr>
                <w:rFonts w:cs="Times New Roman"/>
                <w:sz w:val="20"/>
              </w:rPr>
              <w:t xml:space="preserve"> </w:t>
            </w:r>
            <w:r>
              <w:rPr>
                <w:rFonts w:cs="Times New Roman"/>
                <w:sz w:val="20"/>
              </w:rPr>
              <w:t xml:space="preserve">(в.г. №21)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Рекомендованные мероприятия по замене тепловых сетей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БС, ВБ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654,09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№12/150 н.п. Спутник (в.г. №12)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Рекомендованные мероприятия по замене тепловых сетей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БС, ВБ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2562,1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№25/46 пгт. Печенга (в.г.</w:t>
            </w:r>
            <w:r>
              <w:rPr>
                <w:rFonts w:cs="Times New Roman"/>
                <w:sz w:val="20"/>
              </w:rPr>
              <w:t xml:space="preserve"> </w:t>
            </w:r>
            <w:r>
              <w:rPr>
                <w:rFonts w:cs="Times New Roman"/>
                <w:sz w:val="20"/>
              </w:rPr>
              <w:t xml:space="preserve">№25)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Рекомендованные мероприятия по замене тепловых сетей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БС, ВБ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2066,73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3866,62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1983,38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№21/172 пгт. Печенга (в.г. №21)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Рекомендованные мероприятия по замене тепловых сетей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БС, ВБ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437,33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22178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Котельная №38/177 пгт. Печенга (в.г. №38)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Рекомендованные мероприятия по замене тепловых сетей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БС, ВБ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3140,89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3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9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Итого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20155,86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16757,9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5105,74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3138,63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8115,69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2984,5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1197,25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  <w:lang w:val="en-US"/>
              </w:rPr>
              <w:t xml:space="preserve">0</w:t>
            </w:r>
            <w:r>
              <w:rPr>
                <w:rFonts w:cs="Times New Roman"/>
                <w:b/>
                <w:bCs/>
                <w:sz w:val="20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3"/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35" w:type="dxa"/>
              <w:bottom w:w="0" w:type="dxa"/>
            </w:tcMar>
            <w:tcW w:w="6991" w:type="dxa"/>
            <w:vAlign w:val="center"/>
            <w:textDirection w:val="lrTb"/>
            <w:noWrap w:val="false"/>
          </w:tcPr>
          <w:p>
            <w:pPr>
              <w:ind w:firstLine="200"/>
              <w:jc w:val="right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Всего по МО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20848,5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218367,55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58024,81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46372,65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34143,14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39120,2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38245,22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36457,97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27120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lang w:val="en-US"/>
              </w:rPr>
              <w:t xml:space="preserve">108480</w:t>
            </w:r>
            <w:bookmarkEnd w:id="333"/>
            <w:r>
              <w:rPr>
                <w:rFonts w:cs="Times New Roman"/>
                <w:sz w:val="20"/>
              </w:rPr>
            </w:r>
          </w:p>
        </w:tc>
      </w:tr>
    </w:tbl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 xml:space="preserve">*БС - бюджетные средства, АС - амортизационные средства, ИС – инвестиционные средства, ВБ – внебюджетные средства.</w:t>
      </w:r>
      <w:r>
        <w:rPr>
          <w:rFonts w:cs="Times New Roman"/>
          <w:lang w:eastAsia="ru-RU"/>
        </w:rPr>
      </w:r>
    </w:p>
    <w:p>
      <w:pPr>
        <w:pStyle w:val="728"/>
        <w:ind w:firstLine="709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ind w:firstLine="709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rPr>
          <w:rFonts w:cs="Times New Roman"/>
        </w:rPr>
        <w:sectPr>
          <w:footnotePr/>
          <w:endnotePr/>
          <w:type w:val="nextPage"/>
          <w:pgSz w:w="23814" w:h="16443" w:orient="landscape"/>
          <w:pgMar w:top="1276" w:right="1134" w:bottom="851" w:left="993" w:header="709" w:footer="709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51" w:tooltip="file:///D:\Source\Ses\Docs\Оглавление%20том%202%20%20О.М..docx#bookmark129" w:anchor="bookmark129" w:history="1">
        <w:bookmarkStart w:id="334" w:name="_Toc204085778"/>
        <w:r>
          <w:t xml:space="preserve">Часть 2. </w:t>
        </w:r>
      </w:hyperlink>
      <w:r>
        <w:t xml:space="preserve"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  <w:bookmarkEnd w:id="334"/>
      <w:r/>
      <w:r/>
    </w:p>
    <w:p>
      <w:pPr>
        <w:pStyle w:val="823"/>
        <w:ind w:left="201" w:right="341" w:firstLine="707"/>
        <w:jc w:val="both"/>
        <w:rPr>
          <w:rFonts w:eastAsia="Times New Roman"/>
        </w:rPr>
      </w:pP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823"/>
        <w:ind w:right="-1" w:firstLine="707"/>
        <w:jc w:val="both"/>
        <w:rPr>
          <w:rFonts w:eastAsia="Times New Roman"/>
        </w:rPr>
      </w:pPr>
      <w:r>
        <w:rPr>
          <w:rFonts w:eastAsia="Times New Roman"/>
        </w:rPr>
        <w:t xml:space="preserve">Финансирование мероприятий по строительству, реконструкции и техническому перевооружению источников тепловой энергии и тепловых сетей может осуществляться из двух основных групп источников: бюджетные и внебюджетные.</w:t>
      </w:r>
      <w:r>
        <w:rPr>
          <w:rFonts w:eastAsia="Times New Roman"/>
        </w:rPr>
      </w:r>
    </w:p>
    <w:p>
      <w:pPr>
        <w:pStyle w:val="823"/>
        <w:ind w:right="-1" w:firstLine="707"/>
        <w:jc w:val="both"/>
        <w:rPr>
          <w:rFonts w:eastAsia="Times New Roman"/>
        </w:rPr>
      </w:pPr>
      <w:r>
        <w:rPr>
          <w:rFonts w:eastAsia="Times New Roman"/>
        </w:rPr>
        <w:t xml:space="preserve">Бюджетное финансирование указанных проектов осуществляется из бюджета Российской Федерации, бюджетов субъектов Российской Федерации и местных бюджетов в соответствии с Бюджетным кодексом РФ и другими нормативно-правовыми актами.</w:t>
      </w:r>
      <w:r>
        <w:rPr>
          <w:rFonts w:eastAsia="Times New Roman"/>
        </w:rPr>
      </w:r>
    </w:p>
    <w:p>
      <w:pPr>
        <w:pStyle w:val="823"/>
        <w:ind w:right="-1" w:firstLine="707"/>
        <w:jc w:val="both"/>
        <w:rPr>
          <w:rFonts w:eastAsia="Times New Roman"/>
        </w:rPr>
      </w:pPr>
      <w:r>
        <w:rPr>
          <w:rFonts w:eastAsia="Times New Roman"/>
        </w:rPr>
        <w:t xml:space="preserve">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деятельности, в том числе при реализации мероприятий по энергосбережению и повышению энергетической эффективности.</w:t>
      </w:r>
      <w:r>
        <w:rPr>
          <w:rFonts w:eastAsia="Times New Roman"/>
        </w:rPr>
      </w:r>
    </w:p>
    <w:p>
      <w:pPr>
        <w:pStyle w:val="823"/>
        <w:ind w:right="-1" w:firstLine="707"/>
        <w:jc w:val="both"/>
        <w:rPr>
          <w:rFonts w:eastAsia="Times New Roman"/>
        </w:rPr>
      </w:pPr>
      <w:r>
        <w:rPr>
          <w:rFonts w:eastAsia="Times New Roman"/>
        </w:rPr>
        <w:t xml:space="preserve">Внебюджетное финансирование осуществляется за счет собственных средств теплоснабжающих и теплосетевых предприятий, состоящих из прибыли и амортизационных отчислений.</w:t>
      </w:r>
      <w:r>
        <w:rPr>
          <w:rFonts w:eastAsia="Times New Roman"/>
        </w:rPr>
      </w:r>
    </w:p>
    <w:p>
      <w:pPr>
        <w:pStyle w:val="823"/>
        <w:ind w:right="-1" w:firstLine="707"/>
        <w:jc w:val="both"/>
        <w:rPr>
          <w:rFonts w:eastAsia="Times New Roman"/>
          <w:sz w:val="23"/>
          <w:szCs w:val="23"/>
        </w:rPr>
      </w:pPr>
      <w:r>
        <w:rPr>
          <w:rFonts w:eastAsia="Times New Roman"/>
        </w:rPr>
        <w:t xml:space="preserve">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составляющая, необходимая для реализации указанных выше мероприятий.</w:t>
      </w:r>
      <w:r>
        <w:rPr>
          <w:rFonts w:eastAsia="Times New Roman"/>
          <w:sz w:val="23"/>
          <w:szCs w:val="23"/>
        </w:rPr>
      </w:r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152" w:tooltip="file:///D:\Source\Ses\Docs\Оглавление%20том%202%20%20О.М..docx#bookmark130" w:anchor="bookmark130" w:history="1">
        <w:bookmarkStart w:id="335" w:name="_Toc204085779"/>
        <w:r>
          <w:t xml:space="preserve">Часть 3. РАСЧЕТЫ </w:t>
        </w:r>
      </w:hyperlink>
      <w:r>
        <w:t xml:space="preserve">ЭКОНОМИЧЕСКОЙ ЭФФЕКТИВНОСТИ ИНВЕСТИЦИЙ</w:t>
      </w:r>
      <w:bookmarkEnd w:id="335"/>
      <w:r>
        <w:t xml:space="preserve"> </w:t>
      </w:r>
      <w:r/>
    </w:p>
    <w:p>
      <w:pPr>
        <w:pStyle w:val="723"/>
        <w:ind w:firstLine="567"/>
      </w:pPr>
      <w:r/>
      <w:r/>
    </w:p>
    <w:p>
      <w:pPr>
        <w:ind w:right="-1" w:firstLine="709"/>
        <w:jc w:val="both"/>
        <w:rPr>
          <w:rFonts w:cs="Times New Roman"/>
          <w:spacing w:val="-1"/>
        </w:rPr>
      </w:pPr>
      <w:r>
        <w:rPr>
          <w:rFonts w:cs="Times New Roman"/>
          <w:spacing w:val="-1"/>
        </w:rPr>
        <w:t xml:space="preserve">Экономическая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эффективность</w:t>
      </w:r>
      <w:r>
        <w:rPr>
          <w:rFonts w:cs="Times New Roman"/>
          <w:spacing w:val="70"/>
        </w:rPr>
        <w:t xml:space="preserve"> </w:t>
      </w:r>
      <w:r>
        <w:rPr>
          <w:rFonts w:cs="Times New Roman"/>
          <w:spacing w:val="-1"/>
        </w:rPr>
        <w:t xml:space="preserve">реализации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мероприятий</w:t>
      </w:r>
      <w:r>
        <w:rPr>
          <w:rFonts w:cs="Times New Roman"/>
          <w:spacing w:val="69"/>
        </w:rPr>
        <w:t xml:space="preserve"> </w:t>
      </w:r>
      <w:r>
        <w:rPr>
          <w:rFonts w:cs="Times New Roman"/>
        </w:rPr>
        <w:t xml:space="preserve">по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развитию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 xml:space="preserve">теплоснабжения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выражается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сокращении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 xml:space="preserve">эксплуатационных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 xml:space="preserve">издержек,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уменьшению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удельных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 xml:space="preserve">расходов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топлива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производство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тепла,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также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 xml:space="preserve">снижению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потерь тепла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при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транспортировке.</w:t>
      </w:r>
      <w:r>
        <w:rPr>
          <w:rFonts w:cs="Times New Roman"/>
          <w:spacing w:val="-1"/>
        </w:rPr>
      </w:r>
    </w:p>
    <w:p>
      <w:pPr>
        <w:ind w:right="-1" w:firstLine="709"/>
        <w:jc w:val="both"/>
        <w:rPr>
          <w:rFonts w:cs="Times New Roman"/>
        </w:rPr>
      </w:pPr>
      <w:r>
        <w:rPr>
          <w:rFonts w:cs="Times New Roman"/>
        </w:rPr>
        <w:t xml:space="preserve"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 xml:space="preserve">обеспечения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надежного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теплоснабжения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 xml:space="preserve">необходимо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регулярно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проводить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работы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замене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изношенного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устаревшего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2"/>
        </w:rPr>
        <w:t xml:space="preserve">оборудования,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замене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тепловых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сетей.</w:t>
      </w:r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53" w:tooltip="file:///D:\Source\Ses\Docs\Оглавление%20том%202%20%20О.М..docx#bookmark130" w:anchor="bookmark130" w:history="1">
        <w:bookmarkStart w:id="336" w:name="_Toc204085780"/>
        <w:r>
          <w:t xml:space="preserve">Часть 4. </w:t>
        </w:r>
      </w:hyperlink>
      <w:r>
        <w:t xml:space="preserve"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</w:r>
      <w:bookmarkEnd w:id="336"/>
      <w:r/>
      <w:r/>
    </w:p>
    <w:p>
      <w:pPr>
        <w:pStyle w:val="728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</w:r>
      <w:r>
        <w:rPr>
          <w:rFonts w:cs="Times New Roman"/>
          <w:b/>
          <w:lang w:eastAsia="ru-RU"/>
        </w:rPr>
      </w:r>
    </w:p>
    <w:p>
      <w:pPr>
        <w:pStyle w:val="728"/>
        <w:ind w:firstLine="709"/>
        <w:jc w:val="both"/>
        <w:rPr>
          <w:rFonts w:cs="Times New Roman"/>
          <w:lang w:eastAsia="ru-RU"/>
        </w:rPr>
      </w:pPr>
      <w:r>
        <w:rPr>
          <w:rFonts w:cs="Times New Roman"/>
        </w:rPr>
        <w:t xml:space="preserve"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 рассмотрены в Главе 14.</w:t>
      </w:r>
      <w:r>
        <w:rPr>
          <w:rFonts w:cs="Times New Roman"/>
          <w:lang w:eastAsia="ru-RU"/>
        </w:rPr>
      </w:r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337" w:name="_Toc204085781"/>
      <w:r>
        <w:t xml:space="preserve">Часть 5. ОПИСАНИЕ ИЗМЕНЕНИЙ В ОБОСНОВАНИИ ИНВЕСТИЦИЙ (ОЦЕНКЕ ФИНАНСОВЫХ ПОТРЕБНОСТ</w:t>
      </w:r>
      <w:r>
        <w:t xml:space="preserve">ЕЙ, ПРЕДЛОЖЕНИЯХ ПО ИСТОЧНИКАМ ИНВЕСТИЦИЙ) В СТРОИТЕЛЬСТВО, РЕКОНСТРУКЦИЮ, ТЕХНИЧЕСКОЕ ПЕРЕВООРУЖЕНИЕ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</w:r>
      <w:bookmarkEnd w:id="337"/>
      <w:r/>
      <w:r/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ind w:firstLine="709"/>
        <w:rPr>
          <w:rFonts w:cs="Times New Roman"/>
        </w:rPr>
      </w:pPr>
      <w:r>
        <w:rPr>
          <w:rFonts w:cs="Times New Roman"/>
        </w:rPr>
        <w:t xml:space="preserve">Откорректирован перечень мероприятий по суммам и периоду реализации.</w:t>
      </w:r>
      <w:r>
        <w:rPr>
          <w:rFonts w:cs="Times New Roman"/>
        </w:rPr>
      </w:r>
    </w:p>
    <w:p>
      <w:pPr>
        <w:rPr>
          <w:rFonts w:cs="Times New Roman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9" w:footer="709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  <w:rPr>
          <w:sz w:val="28"/>
          <w:szCs w:val="28"/>
        </w:rPr>
      </w:pPr>
      <w:r/>
      <w:bookmarkStart w:id="338" w:name="_Toc204085782"/>
      <w:r>
        <w:rPr>
          <w:sz w:val="28"/>
          <w:szCs w:val="28"/>
        </w:rPr>
        <w:t xml:space="preserve">ГЛАВА</w:t>
      </w:r>
      <w:hyperlink r:id="rId154" w:tooltip="file:///D:\Source\Ses\Docs\Оглавление%20том%202%20%20О.М..docx#bookmark131" w:anchor="bookmark131" w:history="1">
        <w:bookmarkStart w:id="339" w:name="_Toc30085167"/>
        <w:bookmarkStart w:id="340" w:name="_Toc32845490"/>
        <w:r>
          <w:rPr>
            <w:sz w:val="28"/>
            <w:szCs w:val="28"/>
          </w:rPr>
          <w:t xml:space="preserve"> 13.</w:t>
        </w:r>
        <w:r>
          <w:rPr>
            <w:sz w:val="28"/>
            <w:szCs w:val="28"/>
          </w:rPr>
          <w:t xml:space="preserve"> </w:t>
        </w:r>
        <w:bookmarkStart w:id="341" w:name="OLE_LINK4"/>
        <w:bookmarkStart w:id="342" w:name="OLE_LINK5"/>
        <w:bookmarkStart w:id="343" w:name="OLE_LINK6"/>
        <w:r>
          <w:rPr>
            <w:sz w:val="28"/>
            <w:szCs w:val="28"/>
          </w:rPr>
          <w:t xml:space="preserve">ИНДИКАТОРЫ РАЗВИТИЯ СИСТЕМ</w:t>
        </w:r>
        <w:r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ТЕПЛОСНАБЖЕНИЯ</w:t>
        </w:r>
        <w:bookmarkEnd w:id="341"/>
        <w:bookmarkEnd w:id="342"/>
        <w:bookmarkEnd w:id="343"/>
        <w:r>
          <w:rPr>
            <w:sz w:val="28"/>
            <w:szCs w:val="28"/>
          </w:rPr>
          <w:t xml:space="preserve"> ПОСЕЛЕНИЯ,</w:t>
        </w:r>
      </w:hyperlink>
      <w:r>
        <w:rPr>
          <w:sz w:val="28"/>
          <w:szCs w:val="28"/>
        </w:rPr>
        <w:t xml:space="preserve"> </w:t>
      </w:r>
      <w:hyperlink r:id="rId155" w:tooltip="file:///D:\Source\Ses\Docs\Оглавление%20том%202%20%20О.М..docx#bookmark131" w:anchor="bookmark131" w:history="1">
        <w:r>
          <w:rPr>
            <w:sz w:val="28"/>
            <w:szCs w:val="28"/>
          </w:rPr>
          <w:t xml:space="preserve">ГОРОДСКОГО ОКРУГА</w:t>
        </w:r>
        <w:bookmarkEnd w:id="338"/>
        <w:bookmarkEnd w:id="339"/>
        <w:bookmarkEnd w:id="340"/>
      </w:hyperlink>
      <w:r/>
      <w:r>
        <w:rPr>
          <w:sz w:val="28"/>
          <w:szCs w:val="28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13.1.1 - Индикаторы развития систем теплоснабжения</w:t>
      </w:r>
      <w:r>
        <w:rPr>
          <w:rFonts w:cs="Times New Roman"/>
        </w:rPr>
      </w:r>
    </w:p>
    <w:tbl>
      <w:tblPr>
        <w:tblW w:w="20909" w:type="dxa"/>
        <w:tblLook w:val="04A0" w:firstRow="1" w:lastRow="0" w:firstColumn="1" w:lastColumn="0" w:noHBand="0" w:noVBand="1"/>
      </w:tblPr>
      <w:tblGrid>
        <w:gridCol w:w="420"/>
        <w:gridCol w:w="5104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25"/>
      </w:tblGrid>
      <w:tr>
        <w:tblPrEx/>
        <w:trPr>
          <w:gridAfter w:val="1"/>
          <w:trHeight w:val="301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Наименование теплоисточника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2039-2043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а) количество прекращений подачи тепловой энергии, теплоносителя в результате технологических нарушений на тепловых сетях, шт./год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АО «МЭС»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«Теплонорд»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МУП «Тепловые сети»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 «Сети Никеля»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«ПромВоенСтрой»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ФГБУ «ЦЖКУ» МО РФ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АО «МЭС»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ПАО «ТГК-1»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«Теплонорд»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«ПромВоенСтрой»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ФГБУ «ЦЖКУ» МО РФ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9be8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комбинированной выработки электрической и тепловой энергии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Отсутствует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9be8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Котельные(некомбинированная выработка)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АО «МЭС»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180,20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АО «МЭС»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181,77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ПАО «ТГК-1»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748,38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748,38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748,38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748,38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748,38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748,38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849,42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849,42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849,42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849,42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849,42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849,42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ПАО «ТГК-1»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«Теплонорд»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307,58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307,58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307,58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307,58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307,58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307,58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409,48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409,48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409,48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409,48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409,48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409,48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228,90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ООО «Теплонорд»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334,12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334,12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334,12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334,12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334,12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334,12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«ПромВоенСтрой»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205,41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241,21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241,21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223,75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230,02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198,11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216,83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209,13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229,76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229,76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182,99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202,50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312,85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288,95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252,41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252,41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252,41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252,41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252,41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197,15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251,84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ООО «ПромВоенСтрой»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234,24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246,57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246,57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223,44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223,44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223,44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180,18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180,18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180,18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163,39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163,39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163,39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163,39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163,39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ФГБУ «ЦЖКУ» МО РФ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№25/52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268,36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268,36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268,36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268,36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268,36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268,36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№18/65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255,69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№13/66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276,06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276,06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276,06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276,06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276,06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276,06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№69/6 н.п.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Вайда-Губа (в.г. №69)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№38/86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283,76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№21/90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261,58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261,58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261,58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261,58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261,58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261,58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265,79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272,61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272,61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272,61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272,61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272,61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272,61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270,65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282,93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ФГБУ «ЦЖКУ» МО РФ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269,13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269,13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269,13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269,13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269,13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269,13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189,54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189,54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189,54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189,54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189,54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189,54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189,54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189,54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189,54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189,54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г) отношение величины технологических потерь тепловой энергии, теплоносителя к материальной характеристике тепловой сети, Гкал/м2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АО «МЭС»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1,49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АО «МЭС»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4,99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ПАО «ТГК-1»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ПАО «ТГК-1»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«Теплонорд»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1,90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ООО «Теплонорд»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«ПромВоенСтрой»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ООО «ПромВоенСтрой»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18,08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ФГБУ «ЦЖКУ» МО РФ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№25/52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№18/65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№13/66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№69/6 н.п.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Вайда-Губа (в.г. №69)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№38/86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№21/90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ФГБУ «ЦЖКУ» МО РФ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муниципальному образованию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д) коэффициент использования установленной тепловой мощности, о.е.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9be8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комбинированной выработки электрической и тепловой энергии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Отсутствует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9be8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Котельные(некомбинированная выработка)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АО «МЭС»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АО «МЭС»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ПАО «ТГК-1»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ПАО «ТГК-1»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«Теплонорд»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37,96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7,09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16,95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ООО «Теплонорд»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«ПромВоенСтрой»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41,63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41,63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67,93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38,34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ООО «ПромВоенСтрой»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ФГБУ «ЦЖКУ» МО РФ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№25/52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№18/65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№13/66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№69/6 н.п.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Вайда-Губа (в.г. №69)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37,60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№38/86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87,50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№21/90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99,42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15,94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18,87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ФГБУ «ЦЖКУ» МО РФ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36,13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е) удельная материальная характеристика тепловых сетей, приведенная к расчетной тепловой нагрузке, м2/(Гкал/ч)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9be8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комбинированной выработки электрической и тепловой энергии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Отсутствует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9be8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Котельные(некомбинированная выработка)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АО «МЭС»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142,69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АО «МЭС»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ПАО «ТГК-1»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2665,8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ПАО «ТГК-1»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1582,0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«Теплонорд»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91,01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809,24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950,58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164,31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ООО «Теплонорд»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424,29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«ПромВоенСтрой»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127,03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154,15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168,32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187,41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310,92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111,29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211,98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124,74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ООО «ПромВоенСтрой»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162,46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ФГБУ «ЦЖКУ» МО РФ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678,85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№25/52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№18/65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90,01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№13/66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107,74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№69/6 н.п.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Вайда-Губа (в.г. №69)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63,85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№38/86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№21/90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3,92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117,51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40,42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638,43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262,00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679,21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ФГБУ «ЦЖКУ» МО РФ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183,54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муниципальному образованию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294,41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целом по муниципальному образованию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з) удельный расход условного топлива на отпуск электрической энергии, гу.т/(кВт·ч)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Отсутствует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к) доля отпуска тепловой энергии, осуществляемого потребителям по приборам учета, в общем объеме отпущенной тепловой энергии, %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целом по муниципальному образованию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1,7511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л) средневзвешенный (по материальной характеристике) срок эксплуатации тепловых сетей (для каждой системы теплоснабжения), лет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АО «МЭС»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ПАО «ТГК-1»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«Теплонорд»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«ПромВоенСтрой»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28,6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25,3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ФГБУ «ЦЖКУ» МО РФ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№25/52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№18/65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№13/66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№69/6 н.п.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Вайда-Губа (в.г. №69)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№38/86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№21/90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59,1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62,1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64,1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68,1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70,1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73,1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74,1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47,4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51,4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52,4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53,4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54,4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55,4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56,4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57,4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58,4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59,4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60,4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61,4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м) отношение материальной характеристики тепловых сетей, реконструированных за год,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АО «МЭС»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"Заполярный"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ЭЦ-2 пгт. Никель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АО «МЭС»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ПАО «ТГК-1»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"К-15"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Электрокотельная "М-4" нп. Раякоски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ПАО «ТГК-1»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«Теплонорд»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51 нп. Корзуново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№2/44 пгт Печенга (в.г. №2)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(19 км)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№31/44 н.п. Луостари (в.г. №31)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ООО «Теплонорд»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«ПромВоенСтрой»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13/55 пгт. Печенга, ш. Печенгское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13/73 пгт. Печенга, ул. Стадионная 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42/138 нп. Спутник 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4/152 ж/д ст. Печенга (в.г. №4)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3 нп. Лиинахамари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15/146 нп. Луостари, ул. Верхняя 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 5/149 нп. Луостари, ул. Нижняя 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ООО «ПромВоенСтрой»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dbe5f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ФГБУ «ЦЖКУ» МО РФ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№9/49 пгт. Печенга (в.г. №9)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№25/52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№18/65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№13/66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№69/6 н.п.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Вайда-Губа (в.г. №69)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№38/86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№21/90 пгт.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№12/150 н.п. Спутник 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№12)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№25)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№21/172 пгт. Печенга (в.г. №21)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№38/177 пгт. Печенга (в.г. №38)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(в.г. №42)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по: ФГБУ «ЦЖКУ» МО РФ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bd4b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муниципальному образованию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bd4b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gridSpan w:val="19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09" w:type="dxa"/>
            <w:vAlign w:val="center"/>
            <w:textDirection w:val="lrTb"/>
            <w:noWrap w:val="false"/>
          </w:tcPr>
          <w:p>
            <w:pPr>
              <w:ind w:firstLine="200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н) отношение установленной тепловой мощности оборудования источников тепловой энер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gridSpan w:val="2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целом по муниципальному образованию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344" w:name="_Toc204085783"/>
      <w:r>
        <w:t xml:space="preserve">Часть 1. ОПИСАНИЕ ИЗМЕНЕНИЙ (ФАКТИЧЕСКИХ ДАННЫХ) В ОЦЕНКЕ ЗНАЧЕНИЙ ИНДИКАТОРОВ РАЗВИТИЯ СИСТЕМ ТЕПЛОСНАБЖЕНИЯ ПОСЕЛЕНИЯ, ГОРОДСКОГО ОКРУГА, ГОРОДА ФЕДЕРАЛЬНОГО ЗНАЧЕНИЯ С УЧЕТОМ РЕАЛИЗАЦИИ ПРОЕКТОВ СХЕМЫ ТЕПЛОСНАБЖЕНИЯ</w:t>
      </w:r>
      <w:bookmarkEnd w:id="344"/>
      <w:r/>
      <w:r/>
    </w:p>
    <w:p>
      <w:pPr>
        <w:pStyle w:val="728"/>
        <w:rPr>
          <w:rFonts w:cs="Times New Roman"/>
          <w:spacing w:val="-5"/>
        </w:rPr>
      </w:pPr>
      <w:r>
        <w:rPr>
          <w:rFonts w:cs="Times New Roman"/>
          <w:spacing w:val="-5"/>
        </w:rPr>
      </w:r>
      <w:r>
        <w:rPr>
          <w:rFonts w:cs="Times New Roman"/>
          <w:spacing w:val="-5"/>
        </w:rPr>
      </w:r>
    </w:p>
    <w:p>
      <w:pPr>
        <w:pStyle w:val="728"/>
        <w:ind w:firstLine="709"/>
        <w:rPr>
          <w:rFonts w:cs="Times New Roman"/>
          <w:spacing w:val="-5"/>
        </w:rPr>
      </w:pPr>
      <w:r>
        <w:rPr>
          <w:rFonts w:cs="Times New Roman"/>
          <w:spacing w:val="-5"/>
        </w:rPr>
        <w:t xml:space="preserve">Пересчитаны индикаторы, согласно предоставленных данных.</w:t>
      </w:r>
      <w:r>
        <w:rPr>
          <w:rFonts w:cs="Times New Roman"/>
          <w:spacing w:val="-5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  <w:sectPr>
          <w:footnotePr/>
          <w:endnotePr/>
          <w:type w:val="nextPage"/>
          <w:pgSz w:w="23811" w:h="16838" w:orient="landscape"/>
          <w:pgMar w:top="1418" w:right="1134" w:bottom="1701" w:left="1134" w:header="709" w:footer="709" w:gutter="0"/>
          <w:cols w:num="1" w:sep="0" w:space="708" w:equalWidth="1"/>
          <w:docGrid w:linePitch="360"/>
        </w:sectPr>
      </w:pPr>
      <w:r/>
      <w:bookmarkStart w:id="345" w:name="_Toc46131681"/>
      <w:r/>
      <w:bookmarkStart w:id="346" w:name="_Toc53927743"/>
      <w:r/>
      <w:bookmarkEnd w:id="345"/>
      <w:bookmarkEnd w:id="346"/>
      <w:r/>
    </w:p>
    <w:p>
      <w:pPr>
        <w:pStyle w:val="717"/>
        <w:ind w:left="0" w:firstLine="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"file:///D:\\Source\\Ses\\Docs\\Оглавление%20том%202%20%20О.М..docx" \l "bookmark132" </w:instrText>
      </w:r>
      <w:r>
        <w:rPr>
          <w:sz w:val="28"/>
          <w:szCs w:val="28"/>
        </w:rPr>
        <w:fldChar w:fldCharType="separate"/>
      </w:r>
      <w:bookmarkStart w:id="347" w:name="_Toc204085784"/>
      <w:r/>
      <w:bookmarkStart w:id="348" w:name="_Toc32845491"/>
      <w:r/>
      <w:bookmarkStart w:id="349" w:name="_Toc30085168"/>
      <w:r>
        <w:rPr>
          <w:sz w:val="28"/>
          <w:szCs w:val="28"/>
        </w:rPr>
        <w:t xml:space="preserve">ГЛАВА 14. ЦЕНОВЫЕ (ТАРИФНЫЕ) ПОСЛЕДСТВИЯ</w:t>
      </w:r>
      <w:bookmarkEnd w:id="347"/>
      <w:r/>
      <w:bookmarkEnd w:id="348"/>
      <w:r/>
      <w:bookmarkEnd w:id="349"/>
      <w:r>
        <w:rPr>
          <w:sz w:val="28"/>
          <w:szCs w:val="28"/>
        </w:rPr>
        <w:fldChar w:fldCharType="end"/>
      </w:r>
      <w:r>
        <w:rPr>
          <w:sz w:val="28"/>
          <w:szCs w:val="28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56" w:tooltip="file:///D:\Source\Ses\Docs\Оглавление%20том%202%20%20О.М..docx#bookmark133" w:anchor="bookmark133" w:history="1">
        <w:bookmarkStart w:id="350" w:name="_Toc30085169"/>
        <w:bookmarkStart w:id="351" w:name="_Toc32845492"/>
        <w:bookmarkStart w:id="352" w:name="_Toc204085785"/>
        <w:r>
          <w:t xml:space="preserve">Часть 1. ТАРИФНО-БАЛАНСОВЫЕ РАСЧЕТНЫЕ МОДЕЛИ ТЕПЛОСНАБЖЕНИЯ</w:t>
        </w:r>
      </w:hyperlink>
      <w:r>
        <w:t xml:space="preserve"> </w:t>
      </w:r>
      <w:hyperlink r:id="rId157" w:tooltip="file:///D:\Source\Ses\Docs\Оглавление%20том%202%20%20О.М..docx#bookmark133" w:anchor="bookmark133" w:history="1">
        <w:r>
          <w:t xml:space="preserve">ПОТРЕБИТЕЛЕЙ ПО КАЖДОЙ СИСТЕМЕ ТЕПЛОСНАБЖЕНИЯ</w:t>
        </w:r>
        <w:bookmarkEnd w:id="350"/>
        <w:bookmarkEnd w:id="351"/>
        <w:bookmarkEnd w:id="352"/>
      </w:hyperlink>
      <w:r/>
      <w:r/>
    </w:p>
    <w:p>
      <w:pPr>
        <w:ind w:left="116" w:firstLine="710"/>
        <w:spacing w:line="244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</w:r>
      <w:r>
        <w:rPr>
          <w:rFonts w:eastAsia="Times New Roman" w:cs="Times New Roman"/>
          <w:szCs w:val="24"/>
          <w:lang w:eastAsia="ru-RU"/>
        </w:rPr>
      </w:r>
    </w:p>
    <w:p>
      <w:pPr>
        <w:ind w:firstLine="567"/>
        <w:jc w:val="both"/>
        <w:spacing w:line="244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</w:t>
      </w:r>
      <w:r>
        <w:rPr>
          <w:rFonts w:eastAsia="Times New Roman" w:cs="Times New Roman"/>
          <w:szCs w:val="24"/>
          <w:lang w:eastAsia="ru-RU"/>
        </w:rPr>
        <w:t xml:space="preserve">ах</w:t>
      </w:r>
      <w:r>
        <w:rPr>
          <w:rFonts w:eastAsia="Times New Roman" w:cs="Times New Roman"/>
          <w:szCs w:val="24"/>
          <w:lang w:eastAsia="ru-RU"/>
        </w:rPr>
        <w:t xml:space="preserve"> 14.1.1</w:t>
      </w:r>
      <w:r>
        <w:rPr>
          <w:rFonts w:eastAsia="Times New Roman" w:cs="Times New Roman"/>
          <w:szCs w:val="24"/>
          <w:lang w:eastAsia="ru-RU"/>
        </w:rPr>
        <w:t xml:space="preserve"> – 14.1.5</w:t>
      </w:r>
      <w:r>
        <w:rPr>
          <w:rFonts w:eastAsia="Times New Roman" w:cs="Times New Roman"/>
          <w:szCs w:val="24"/>
          <w:lang w:eastAsia="ru-RU"/>
        </w:rPr>
        <w:t xml:space="preserve">.</w:t>
      </w:r>
      <w:r>
        <w:rPr>
          <w:rFonts w:eastAsia="Times New Roman" w:cs="Times New Roman"/>
          <w:szCs w:val="24"/>
          <w:lang w:eastAsia="ru-RU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58" w:tooltip="file:///D:\Source\Ses\Docs\Оглавление%20том%202%20%20О.М..docx#bookmark134" w:anchor="bookmark134" w:history="1">
        <w:bookmarkStart w:id="353" w:name="_Toc30085170"/>
        <w:bookmarkStart w:id="354" w:name="_Toc32845493"/>
        <w:bookmarkStart w:id="355" w:name="_Toc204085786"/>
        <w:r>
          <w:t xml:space="preserve">Часть 2. ТАРИФНО-БАЛАНСОВЫЕ РАСЧЕТНЫЕ МОДЕЛИ ТЕПЛОСНАБЖЕНИЯ</w:t>
        </w:r>
      </w:hyperlink>
      <w:r>
        <w:t xml:space="preserve"> </w:t>
      </w:r>
      <w:hyperlink r:id="rId159" w:tooltip="file:///D:\Source\Ses\Docs\Оглавление%20том%202%20%20О.М..docx#bookmark134" w:anchor="bookmark134" w:history="1">
        <w:r>
          <w:t xml:space="preserve">ПОТРЕБИТЕЛЕЙ ПО КАЖДОЙ ЕДИНОЙ ТЕПЛОСНАБЖАЮЩЕЙ ОРГАНИЗАЦИИ</w:t>
        </w:r>
        <w:bookmarkEnd w:id="353"/>
        <w:bookmarkEnd w:id="354"/>
        <w:bookmarkEnd w:id="355"/>
      </w:hyperlink>
      <w:r/>
      <w:r/>
    </w:p>
    <w:p>
      <w:pPr>
        <w:ind w:left="827"/>
        <w:rPr>
          <w:rFonts w:eastAsia="Times New Roman" w:cs="Times New Roman"/>
          <w:spacing w:val="-16"/>
        </w:rPr>
      </w:pPr>
      <w:r>
        <w:rPr>
          <w:rFonts w:eastAsia="Times New Roman" w:cs="Times New Roman"/>
          <w:spacing w:val="-16"/>
        </w:rPr>
      </w:r>
      <w:r>
        <w:rPr>
          <w:rFonts w:eastAsia="Times New Roman" w:cs="Times New Roman"/>
          <w:spacing w:val="-16"/>
        </w:rPr>
      </w:r>
    </w:p>
    <w:p>
      <w:pPr>
        <w:ind w:firstLine="567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pacing w:val="-16"/>
        </w:rPr>
        <w:t xml:space="preserve">П</w:t>
      </w:r>
      <w:r>
        <w:rPr>
          <w:rFonts w:eastAsia="Times New Roman" w:cs="Times New Roman"/>
          <w:spacing w:val="4"/>
        </w:rPr>
        <w:t xml:space="preserve">р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  <w:spacing w:val="2"/>
        </w:rPr>
        <w:t xml:space="preserve">д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</w:rPr>
        <w:t xml:space="preserve">т</w:t>
      </w:r>
      <w:r>
        <w:rPr>
          <w:rFonts w:eastAsia="Times New Roman" w:cs="Times New Roman"/>
          <w:spacing w:val="-3"/>
        </w:rPr>
        <w:t xml:space="preserve">а</w:t>
      </w:r>
      <w:r>
        <w:rPr>
          <w:rFonts w:eastAsia="Times New Roman" w:cs="Times New Roman"/>
          <w:spacing w:val="1"/>
        </w:rPr>
        <w:t xml:space="preserve">в</w:t>
      </w:r>
      <w:r>
        <w:rPr>
          <w:rFonts w:eastAsia="Times New Roman" w:cs="Times New Roman"/>
          <w:spacing w:val="4"/>
        </w:rPr>
        <w:t xml:space="preserve">л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  <w:spacing w:val="-3"/>
        </w:rPr>
        <w:t xml:space="preserve">н</w:t>
      </w:r>
      <w:r>
        <w:rPr>
          <w:rFonts w:eastAsia="Times New Roman" w:cs="Times New Roman"/>
        </w:rPr>
        <w:t xml:space="preserve">ы</w:t>
      </w:r>
      <w:r>
        <w:rPr>
          <w:rFonts w:eastAsia="Times New Roman" w:cs="Times New Roman"/>
          <w:spacing w:val="-2"/>
        </w:rPr>
        <w:t xml:space="preserve"> </w:t>
      </w:r>
      <w:r>
        <w:rPr>
          <w:rFonts w:eastAsia="Times New Roman" w:cs="Times New Roman"/>
        </w:rPr>
        <w:t xml:space="preserve">в</w:t>
      </w:r>
      <w:r>
        <w:rPr>
          <w:rFonts w:eastAsia="Times New Roman" w:cs="Times New Roman"/>
          <w:spacing w:val="3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таблицах 14.1.1 – 14.1.5.</w:t>
      </w:r>
      <w:r>
        <w:rPr>
          <w:rFonts w:eastAsia="Times New Roman" w:cs="Times New Roman"/>
          <w:sz w:val="22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60" w:tooltip="file:///D:\Source\Ses\Docs\Оглавление%20том%202%20%20О.М..docx#bookmark135" w:anchor="bookmark135" w:history="1">
        <w:bookmarkStart w:id="356" w:name="_Toc30085171"/>
        <w:bookmarkStart w:id="357" w:name="_Toc32845494"/>
        <w:bookmarkStart w:id="358" w:name="_Toc204085787"/>
        <w:r>
          <w:t xml:space="preserve">Часть 3. РЕЗУЛЬТАТЫ ОЦЕНКИ ЦЕНОВЫХ (ТАРИФНЫХ) ПОСЛЕДСТВИЙ</w:t>
        </w:r>
      </w:hyperlink>
      <w:r>
        <w:t xml:space="preserve"> </w:t>
      </w:r>
      <w:hyperlink r:id="rId161" w:tooltip="file:///D:\Source\Ses\Docs\Оглавление%20том%202%20%20О.М..docx#bookmark135" w:anchor="bookmark135" w:history="1">
        <w:r>
          <w:t xml:space="preserve">РЕАЛИЗАЦИИ ПРОЕКТОВ СХЕМЫ ТЕПЛОСНАБЖЕНИЯ НА ОСНОВАНИИ</w:t>
        </w:r>
      </w:hyperlink>
      <w:r>
        <w:t xml:space="preserve"> </w:t>
      </w:r>
      <w:hyperlink r:id="rId162" w:tooltip="file:///D:\Source\Ses\Docs\Оглавление%20том%202%20%20О.М..docx#bookmark135" w:anchor="bookmark135" w:history="1">
        <w:r>
          <w:t xml:space="preserve">РАЗРАБОТАННЫХ ТАРИФНО-БАЛАНСОВЫХ МОДЕЛЕЙ</w:t>
        </w:r>
        <w:bookmarkEnd w:id="356"/>
        <w:bookmarkEnd w:id="357"/>
        <w:bookmarkEnd w:id="358"/>
      </w:hyperlink>
      <w:r/>
      <w:r/>
    </w:p>
    <w:p>
      <w:pPr>
        <w:ind w:left="827"/>
        <w:rPr>
          <w:rFonts w:eastAsia="Times New Roman" w:cs="Times New Roman"/>
          <w:spacing w:val="-16"/>
        </w:rPr>
      </w:pPr>
      <w:r>
        <w:rPr>
          <w:rFonts w:eastAsia="Times New Roman" w:cs="Times New Roman"/>
          <w:spacing w:val="-16"/>
        </w:rPr>
      </w:r>
      <w:r>
        <w:rPr>
          <w:rFonts w:eastAsia="Times New Roman" w:cs="Times New Roman"/>
          <w:spacing w:val="-16"/>
        </w:rPr>
      </w:r>
    </w:p>
    <w:p>
      <w:pPr>
        <w:ind w:firstLine="567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pacing w:val="-16"/>
        </w:rPr>
        <w:t xml:space="preserve">П</w:t>
      </w:r>
      <w:r>
        <w:rPr>
          <w:rFonts w:eastAsia="Times New Roman" w:cs="Times New Roman"/>
          <w:spacing w:val="4"/>
        </w:rPr>
        <w:t xml:space="preserve">р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  <w:spacing w:val="2"/>
        </w:rPr>
        <w:t xml:space="preserve">д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</w:rPr>
        <w:t xml:space="preserve">т</w:t>
      </w:r>
      <w:r>
        <w:rPr>
          <w:rFonts w:eastAsia="Times New Roman" w:cs="Times New Roman"/>
          <w:spacing w:val="-3"/>
        </w:rPr>
        <w:t xml:space="preserve">а</w:t>
      </w:r>
      <w:r>
        <w:rPr>
          <w:rFonts w:eastAsia="Times New Roman" w:cs="Times New Roman"/>
          <w:spacing w:val="1"/>
        </w:rPr>
        <w:t xml:space="preserve">в</w:t>
      </w:r>
      <w:r>
        <w:rPr>
          <w:rFonts w:eastAsia="Times New Roman" w:cs="Times New Roman"/>
          <w:spacing w:val="4"/>
        </w:rPr>
        <w:t xml:space="preserve">л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  <w:spacing w:val="-3"/>
        </w:rPr>
        <w:t xml:space="preserve">н</w:t>
      </w:r>
      <w:r>
        <w:rPr>
          <w:rFonts w:eastAsia="Times New Roman" w:cs="Times New Roman"/>
        </w:rPr>
        <w:t xml:space="preserve">ы</w:t>
      </w:r>
      <w:r>
        <w:rPr>
          <w:rFonts w:eastAsia="Times New Roman" w:cs="Times New Roman"/>
          <w:spacing w:val="-2"/>
        </w:rPr>
        <w:t xml:space="preserve"> </w:t>
      </w:r>
      <w:r>
        <w:rPr>
          <w:rFonts w:eastAsia="Times New Roman" w:cs="Times New Roman"/>
        </w:rPr>
        <w:t xml:space="preserve">в</w:t>
      </w:r>
      <w:r>
        <w:rPr>
          <w:rFonts w:eastAsia="Times New Roman" w:cs="Times New Roman"/>
          <w:spacing w:val="3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таблицах 14.1.1 – 14.1.5.</w:t>
      </w:r>
      <w:r>
        <w:rPr>
          <w:rFonts w:eastAsia="Times New Roman" w:cs="Times New Roman"/>
          <w:sz w:val="22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14.1.1 - Тарифно-балансовые расчетные модели теплоснабжения потребления</w:t>
      </w:r>
      <w:r>
        <w:rPr>
          <w:rFonts w:cs="Times New Roman"/>
          <w:b/>
        </w:rPr>
        <w:t xml:space="preserve"> АО «МЭС»</w:t>
      </w:r>
      <w:r>
        <w:rPr>
          <w:rFonts w:cs="Times New Roman"/>
        </w:rPr>
      </w:r>
    </w:p>
    <w:tbl>
      <w:tblPr>
        <w:tblW w:w="22397" w:type="dxa"/>
        <w:tblLook w:val="04A0" w:firstRow="1" w:lastRow="0" w:firstColumn="1" w:lastColumn="0" w:noHBand="0" w:noVBand="1"/>
      </w:tblPr>
      <w:tblGrid>
        <w:gridCol w:w="2133"/>
        <w:gridCol w:w="986"/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1071"/>
      </w:tblGrid>
      <w:tr>
        <w:tblPrEx/>
        <w:trPr>
          <w:trHeight w:val="690"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/>
            <w:bookmarkStart w:id="359" w:name="_Hlk206420154"/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Ед. изм.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2031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2032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2033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2034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2035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2036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2038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2039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2040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2041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2042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2043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87"/>
        </w:trPr>
        <w:tc>
          <w:tcPr>
            <w:gridSpan w:val="4"/>
            <w:shd w:val="clear" w:color="auto" w:fill="deeaf6" w:themeFill="accent1" w:themeFillTint="33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"Заполярный"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87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Итого необходимая валовая выручка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1750304,66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1855338,37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1966675,03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2084692,88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2209792,83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2342399,88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2482964,53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2631964,29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2789905,36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2957324,27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3134789,80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3322904,83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3522308,42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3733677,97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3957731,57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4195230,36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4446981,16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4713839,24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6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Полезный отпуск тепловой энергии (через сети МУП "Тепловые сети")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143472,94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143473,94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143474,94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143475,94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143476,94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143477,94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143478,94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143479,94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143480,94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143481,94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143482,94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143483,94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143484,94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143485,94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143486,94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143487,94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143488,94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143489,94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87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Тариф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Руб./Гкал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7629,39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8087,15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8572,38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9086,72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9631,93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10209,84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10822,43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11471,78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12160,08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12889,69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13663,07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14482,85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15351,83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16272,94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17249,31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18284,27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19381,33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20544,21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6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Полезный отпуск тепловой энергии (через сети АО "МЭС"+компенсация потерь)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94619,37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94620,37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94621,37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94622,37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94623,37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94624,37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94625,37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94626,37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94627,37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94628,37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94629,37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94630,37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94631,37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94632,37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94633,37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94634,37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94635,37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94636,37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87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Тариф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Руб./Гкал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6929,81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7345,60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7786,33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8253,51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8748,72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9273,65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9830,07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10419,87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11045,06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11707,77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12410,23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13154,84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13944,14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14780,78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15667,63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16607,69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17604,15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18660,40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87"/>
        </w:trPr>
        <w:tc>
          <w:tcPr>
            <w:gridSpan w:val="4"/>
            <w:shd w:val="clear" w:color="auto" w:fill="deeaf6" w:themeFill="accent1" w:themeFillTint="33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6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ЭЦ-2 пгт. Никель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deeaf6" w:themeFill="accent1" w:themeFillTint="3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87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</w:rPr>
              <w:t xml:space="preserve">Итого необходимая валовая выручка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847625,235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898482,75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952391,71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1009535,22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1070107,33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1134313,77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1202372,60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1274514,95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1350985,85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1432045,00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1517967,70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1609045,76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1705588,51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1807923,82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1916399,25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2031383,20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2153266,19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2282462,17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6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</w:rPr>
              <w:t xml:space="preserve">Полезный отпуск тепловой энергии через тепловую сеть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120696,86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87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</w:rPr>
              <w:t xml:space="preserve">Тариф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Руб./Гкал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6537,555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6929,81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7345,60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7786,33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8253,51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8748,72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9273,65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9830,07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10419,87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11045,06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11707,77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12410,23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13154,84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13944,14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14780,78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15667,63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16607,69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17604,15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6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</w:rPr>
              <w:t xml:space="preserve">Полезный отпуск тепловой энергии с коллектора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11123,00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87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bCs/>
                <w:sz w:val="18"/>
                <w:szCs w:val="18"/>
              </w:rPr>
              <w:t xml:space="preserve">Тариф</w:t>
            </w: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Руб./Гкал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5265,027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5580,93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5915,78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6270,73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6646,97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7045,79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7468,54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7916,65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8391,65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8895,15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9428,86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9994,59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10594,27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11229,92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11903,72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12617,94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13375,02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 xml:space="preserve">14177,52</w:t>
            </w:r>
            <w:bookmarkEnd w:id="359"/>
            <w:r>
              <w:rPr>
                <w:rFonts w:eastAsia="Times New Roman" w:cs="Times New Roman"/>
                <w:sz w:val="18"/>
                <w:szCs w:val="18"/>
                <w:lang w:eastAsia="ru-RU"/>
              </w:rPr>
            </w:r>
          </w:p>
        </w:tc>
      </w:tr>
    </w:tbl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14.1.2 - Тарифно-балансовые расчетные модели теплоснабжения потребления Каскад Пазских ГЭС филиал «Кольский» ПАО "ТГК-1"</w:t>
      </w:r>
      <w:r>
        <w:rPr>
          <w:rFonts w:cs="Times New Roman"/>
        </w:rPr>
      </w:r>
    </w:p>
    <w:tbl>
      <w:tblPr>
        <w:tblW w:w="22382" w:type="dxa"/>
        <w:tblLook w:val="04A0" w:firstRow="1" w:lastRow="0" w:firstColumn="1" w:lastColumn="0" w:noHBand="0" w:noVBand="1"/>
      </w:tblPr>
      <w:tblGrid>
        <w:gridCol w:w="2391"/>
        <w:gridCol w:w="1289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>
        <w:tblPrEx/>
        <w:trPr>
          <w:trHeight w:val="449"/>
        </w:trPr>
        <w:tc>
          <w:tcPr>
            <w:shd w:val="clear" w:color="f2f2f2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Ед. изм.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2034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2035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2036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2037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2038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2039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2040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2041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2042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f2f2f2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2043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1"/>
        </w:trPr>
        <w:tc>
          <w:tcPr>
            <w:shd w:val="clear" w:color="000000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9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Итого необходимая валовая выручка</w:t>
            </w: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31645,95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31736,98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33641,20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35659,68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37799,26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40067,21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42471,24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45019,52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47720,69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50583,93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53618,97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56836,11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60246,27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63861,05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67692,71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71754,27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76059,53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80623,10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1"/>
        </w:trPr>
        <w:tc>
          <w:tcPr>
            <w:shd w:val="clear" w:color="000000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9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Полезный отпуск тепловой энергии</w:t>
            </w: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1 537,10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6"/>
        </w:trPr>
        <w:tc>
          <w:tcPr>
            <w:shd w:val="clear" w:color="000000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9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Тариф</w:t>
            </w: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Руб./Гкал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20 588,09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20 647,31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21886,15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23199,32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24591,28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26066,76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27630,76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29288,61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31045,92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32908,68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34883,20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36976,19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39194,76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41546,45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44039,24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46681,59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49482,49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52451,44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</w:tbl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14.1.3 - Тарифно-балансовые расчетные модели теплоснабжения потребления ООО «ПромВоенСтрой»</w:t>
      </w:r>
      <w:r>
        <w:rPr>
          <w:rFonts w:cs="Times New Roman"/>
        </w:rPr>
      </w:r>
    </w:p>
    <w:tbl>
      <w:tblPr>
        <w:tblW w:w="22442" w:type="dxa"/>
        <w:tblLook w:val="04A0" w:firstRow="1" w:lastRow="0" w:firstColumn="1" w:lastColumn="0" w:noHBand="0" w:noVBand="1"/>
      </w:tblPr>
      <w:tblGrid>
        <w:gridCol w:w="441"/>
        <w:gridCol w:w="3382"/>
        <w:gridCol w:w="96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>
        <w:tblPrEx/>
        <w:trPr>
          <w:trHeight w:val="476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Ед.изм.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4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gridSpan w:val="20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001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котельные пгт Печенга № 13/55, 13/73, 4/152, котельная п. Спутник №42/138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Операционные (подконтрольные) расходы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108886,95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112110,00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115428,46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120045,60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124847,42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129841,32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135034,97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140436,37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146053,83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151895,98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157971,82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164290,69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170862,32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177696,81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184804,68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192196,87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199884,74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207880,13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Неподконтрольные расходы, в том числе: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24787,98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25455,44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26072,51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25462,69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26341,30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27255,06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28205,37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29193,69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30221,55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31290,52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32402,24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33558,44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34760,88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36011,43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37311,99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38664,58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40071,27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41534,23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оплату услуг, оказываемых организациями, осуществляющими регулируемые виды деятельности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26,70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28,88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30,04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32,49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33,79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35,14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38,00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39,52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41,11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42,75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44,46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46,24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48,09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50,01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52,01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44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уплату налогов, сборов и других обязательных платежей, включая плату за выбросы и сбросы загрязняющих веществ в окружающую среду в пределах установленных нормативов и (или) лимитов, а также расходы на обязательное страхование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250,31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250,31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250,31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260,33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270,74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281,57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292,83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316,73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329,39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342,57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356,27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370,52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385,35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400,76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416,79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433,46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450,80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концессионная плата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арендная плата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отчисления на социальные нужды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18029,33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18563,00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19112,46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19876,96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20672,04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21498,92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22358,88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23253,23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24183,36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25150,70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26156,72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27202,99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28291,11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29422,76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30599,67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31823,65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33096,60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34420,46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амортизация основных средств и нематериальных активов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4888,40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4888,40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4888,40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налог на прибыль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Прочие расходы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1529,66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1662,39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1728,89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1798,04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1869,96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1944,76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2022,55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2103,46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2187,59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2275,10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2366,10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2460,75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2559,18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2661,54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2768,00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2878,72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2993,87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3113,63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Расходы на приобретение (производство) энергетических ресурсов, холодной воды и теплоносителя, в том числе: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116906,77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121151,67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125555,60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130577,83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18135,65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18861,08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19615,52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20400,14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21216,15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22064,79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22947,39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23865,28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24819,89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25812,69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26845,20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27919,00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29035,76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30197,19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топливо 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101404,34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105029,14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108788,17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113139,70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тонн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13,26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-расходы на теплоноситель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-расходы на электрическую энергию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12856,42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13370,68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13905,50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14461,72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15040,19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15641,80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16267,47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16918,17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17594,90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18298,69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19030,64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19791,87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20583,54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21406,88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22263,16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23153,68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24079,83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25043,02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кВт.ч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тепловую энергию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холодную воду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2646,01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2751,85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2861,93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2976,40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3095,46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3219,28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3348,05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3481,97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3621,25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3766,10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3916,75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4073,42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4236,35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4405,81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4582,04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4765,32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4955,93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5154,17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Нормативная прибыль, в том числе: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величина расходов на капитальные вложения (инвестиции), определенная в соответствии с утвержденной инвестиционной программой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-прибыль, не предусмотренная инвестпрограммой (на мероприятия из схемы теплоснабжения)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Расчетная предпринимательская прибыль гарантирующей организации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7458,87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7684,40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7913,42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8147,32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8466,22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8797,87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9142,79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9501,51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9874,58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10262,56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10666,07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11085,72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11522,15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11976,05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12448,09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12939,02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13449,59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13980,58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Итого необходимая валовая выручка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258040,57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266401,51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274970,00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284233,43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177790,59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184755,33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191998,66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199531,71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207366,10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215513,85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223987,52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232800,13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241965,25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251496,97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261409,96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271719,47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282441,37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293592,13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Полезный отпуск тепловой энергии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32950,00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Тариф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Руб./Гкал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7831,28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8085,02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8345,07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8626,20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5395,77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5607,14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5826,97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6055,59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6293,36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6540,63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6797,80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7065,25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7343,41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7632,69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7933,53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8246,42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8571,82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8910,23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котельная № 3 н.п. Лиинахамари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Операционные (подконтрольные) расходы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16311,67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16964,13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17642,70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18348,41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19082,34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19845,64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20639,46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21465,04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22323,64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23216,59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24145,25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25111,06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26115,51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27160,13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28246,53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29376,39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30551,45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31773,51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32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Неподконтрольные расходы, в том числе: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5493,38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5634,26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5780,77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5933,14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6091,60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6256,41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6427,80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6606,05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6791,43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6984,23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7184,74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7393,26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5638,61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5864,15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6098,72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6342,67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6596,37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6860,23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оплату услуг, оказываемых организациями, осуществляющими регулируемые виды деятельности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26,89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27,96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34,02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35,38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38,27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39,80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41,39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43,05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44,77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46,56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48,43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44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уплату налогов, сборов и других обязательных платежей, включая плату за выбросы и сбросы загрязняющих веществ в окружающую среду в пределах установленных нормативов и (или) лимитов, а также расходы на обязательное страхование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4,02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4,18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4,34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4,70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4,89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5,28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5,94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6,18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6,43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6,95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7,23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концессионная плата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арендная плата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263,12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273,64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284,59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295,97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307,81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320,12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332,93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346,24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360,09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374,50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389,48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405,05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421,26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438,11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455,63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473,86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492,81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512,52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отчисления на социальные нужды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2928,91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3046,07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3167,91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3294,62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3426,41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3563,47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3706,00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3854,24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4008,41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4168,75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4335,50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4508,92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4689,28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4876,85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5071,92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5274,80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5485,79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5705,22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амортизация основных средств и нематериальных активов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1971,53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налог на прибыль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Прочие расходы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301,26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313,31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325,84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338,88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352,43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366,53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381,19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396,44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412,29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428,79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445,94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463,78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482,33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501,62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521,68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542,55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564,25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586,82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Расходы на приобретение (производство) энергетических ресурсов, холодной воды и теплоносителя, в том числе: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17070,59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17753,41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18463,55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19202,09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2541,00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2642,64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2748,35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2858,28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2972,61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3091,52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3215,18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3343,78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3477,54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3616,64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3761,30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3911,75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4068,22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4230,95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топливо 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14898,53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15494,47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16114,25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16758,82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тонн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-расходы на теплоноситель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-расходы на электрическую энергию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1896,32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1972,17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2051,05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2133,10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2218,42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2307,16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2399,44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2495,42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2595,24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2699,05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2807,01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2919,29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3036,06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3157,50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3283,81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3415,16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3551,76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3693,83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кВт.ч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280,73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тепловую энергию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холодную воду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275,74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286,77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298,24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310,17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322,58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335,48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348,90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362,86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377,37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392,47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408,17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424,49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441,47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459,13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477,50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496,60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516,46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537,12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Нормативная прибыль, в том числе: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величина расходов на капитальные вложения (инвестиции), определенная в соответствии с утвержденной инвестиционной программой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-прибыль, не предусмотренная инвестпрограммой (на мероприятия из схемы теплоснабжения)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Расчетная предпринимательская прибыль гарантирующей организации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1198,86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1242,87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1288,64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1336,24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1385,75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1437,23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1490,78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1546,47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1604,38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1664,62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1727,26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1792,41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1761,58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1832,05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1905,33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1981,54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2060,80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2143,23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Итого необходимая валовая выручка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40074,50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41594,67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43175,65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44819,88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29100,69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30181,92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31306,39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32475,84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33692,07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34956,95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36272,42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37640,52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36993,23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38472,96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40011,88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41612,35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43276,85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45007,92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Полезный отпуск тепловой энергии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Тариф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Руб./Гкал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8178,47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8488,71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8811,36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9146,91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5938,92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6159,58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6389,06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6627,72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6875,93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7134,07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7402,54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7681,74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7549,64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7851,62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8165,69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8492,32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8832,01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9185,29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shd w:val="clear" w:color="000000" w:fill="f2f2f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котельные н.п. Л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у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о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стари № 15/146, 5/149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Операционные (подконтрольные) расходы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42566,42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44269,08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46039,84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47881,43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49796,69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51788,56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53860,10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56014,50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58255,08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60585,29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63008,70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65529,05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68150,21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70876,22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73711,27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76659,72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79726,11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82915,15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Неподконтрольные расходы, в том числе: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9718,40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10054,92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10404,91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10768,89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11147,43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11541,11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11950,54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12376,35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12819,19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13279,74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13758,72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14256,86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14774,92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15313,70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15874,03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16456,78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17062,84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17693,14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оплату услуг, оказываемых организациями, осуществляющими регулируемые виды деятельности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16,70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17,37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18,07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20,32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21,13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21,98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27,81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28,92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31,28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144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уплату налогов, сборов и других обязательных платежей, включая плату за выбросы и сбросы загрязняющих веществ в окружающую среду в пределах установленных нормативов и (или) лимитов, а также расходы на обязательное страхование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169,33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176,11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183,15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190,48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198,10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206,02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214,26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222,83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231,74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241,01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250,65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260,68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271,11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281,95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293,23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304,96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317,16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329,84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концессионная плата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арендная плата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1305,35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отчисления на социальные нужды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7642,12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7947,80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8265,71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8596,34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8940,20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9297,80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9669,72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10056,51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10458,77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10877,12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11312,20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11764,69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12235,28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12724,69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13233,68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13763,02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14313,54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14886,08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амортизация основных средств и нематериальных активов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налог на прибыль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Прочие расходы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584,90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608,29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632,63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657,93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684,25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711,62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740,08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769,69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800,47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832,49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865,79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900,42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936,44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973,90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1012,85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1053,37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1095,50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1139,32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Расходы на приобретение (производство) энергетических ресурсов, холодной воды и теплоносителя, в том числе: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43829,13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45582,30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47405,59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49301,81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22304,08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23196,25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24124,10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25089,06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26092,62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27136,33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28221,78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29350,65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30524,68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31745,66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33015,49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34336,11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35709,56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37137,94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топливо 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39164,46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40731,04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42360,28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44054,70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16 847,08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17 520,96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18 221,80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18 950,67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19 708,70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20 497,05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21 316,93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22 169,61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23 056,39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23 978,65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24 937,79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25 935,31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26 972,72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28 051,63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тонн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3,77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-расходы на теплоноситель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-расходы на электрическую энергию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3947,51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4105,41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4269,63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4440,41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4618,03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4802,75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4994,86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5194,66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5402,44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5618,54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5843,28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6077,01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6320,09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6572,90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6835,81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7109,24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7393,61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7689,36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кВт.ч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552,79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тепловую энергию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расходы на холодную воду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717,16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745,84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775,68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806,71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838,97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872,53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907,43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943,73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981,48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1020,74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1061,57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1104,03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1148,19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1194,12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1241,89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1291,56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1343,22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1396,95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м3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13,82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Нормативная прибыль, в том числе: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величина расходов на капитальные вложения (инвестиции), определенная в соответствии с утвержденной инвестиционной программой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-прибыль, не предусмотренная инвестпрограммой (на мероприятия из схемы теплоснабжения)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Расчетная предпринимательская прибыль гарантирующей организации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2847,47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2958,76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3074,50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3194,87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3320,06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3450,25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3585,65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3726,46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3872,91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4025,22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4183,61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4348,35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4519,67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4697,85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4883,15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5075,87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5276,29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5484,73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Итого необходимая валовая выручка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96113,95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99906,30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103850,34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107952,14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83248,20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86525,92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89934,74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93479,92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97166,90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101001,36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104989,20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109136,56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113449,80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117935,58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122600,79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127452,61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132498,50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137746,22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Полезный отпуск тепловой энергии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9200,00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82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Тариф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Руб./Гкал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10447,17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10859,38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11288,08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11733,93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9048,72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9404,99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9775,52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10160,86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10561,62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10978,41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11411,87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11862,67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12331,50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12819,08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13326,17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13853,54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14402,01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14972,42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</w:tbl>
    <w:p>
      <w:pPr>
        <w:spacing w:before="400" w:after="200"/>
        <w:rPr>
          <w:rFonts w:cs="Times New Roman"/>
          <w:b/>
        </w:rPr>
      </w:pPr>
      <w:r>
        <w:rPr>
          <w:rFonts w:cs="Times New Roman"/>
          <w:b/>
        </w:rPr>
      </w:r>
      <w:r>
        <w:rPr>
          <w:rFonts w:cs="Times New Roman"/>
          <w:b/>
        </w:rPr>
      </w:r>
    </w:p>
    <w:p>
      <w:pPr>
        <w:spacing w:before="400" w:after="200"/>
        <w:rPr>
          <w:rFonts w:cs="Times New Roman"/>
          <w:b/>
        </w:rPr>
      </w:pPr>
      <w:r>
        <w:rPr>
          <w:rFonts w:cs="Times New Roman"/>
          <w:b/>
        </w:rPr>
      </w:r>
      <w:r>
        <w:rPr>
          <w:rFonts w:cs="Times New Roman"/>
          <w:b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14.1.4 - Тарифно-балансовые расчетные модели теплоснабжения потребления ООО «Теплонорд»</w:t>
      </w:r>
      <w:r>
        <w:rPr>
          <w:rFonts w:cs="Times New Roman"/>
        </w:rPr>
      </w:r>
    </w:p>
    <w:tbl>
      <w:tblPr>
        <w:tblW w:w="21591" w:type="dxa"/>
        <w:tblInd w:w="-5" w:type="dxa"/>
        <w:tblLook w:val="04A0" w:firstRow="1" w:lastRow="0" w:firstColumn="1" w:lastColumn="0" w:noHBand="0" w:noVBand="1"/>
      </w:tblPr>
      <w:tblGrid>
        <w:gridCol w:w="3120"/>
        <w:gridCol w:w="960"/>
        <w:gridCol w:w="960"/>
        <w:gridCol w:w="960"/>
        <w:gridCol w:w="960"/>
        <w:gridCol w:w="960"/>
        <w:gridCol w:w="960"/>
        <w:gridCol w:w="960"/>
        <w:gridCol w:w="96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>
        <w:tblPrEx/>
        <w:trPr>
          <w:trHeight w:val="491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Показатель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Ед. изм.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  <w:t xml:space="preserve">нп. Корзуново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Полезный отпуск тепла потребителям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2294,54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Тариф (1 полугодие)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руб./Гкал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14581,34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15456,22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16383,59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17366,61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18408,61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19513,12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20683,91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21924,94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23240,44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24634,87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26112,96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27679,74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29340,52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31100,95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32967,01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34945,03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37041,73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39264,24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Тариф (2 полугодие)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15456,22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16383,59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17366,61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18408,61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19513,12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20683,91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21924,94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23240,44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24634,87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26112,96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27679,74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29340,52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31100,95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32967,01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34945,03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37041,73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39264,24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41620,09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Необходимая валовая выручка от вида деятельности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34461,19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36528,86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38720,59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41043,83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43506,46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46116,85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48883,86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51816,89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54925,90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58221,46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61714,74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65417,63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69342,69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73503,25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77913,44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82588,25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87543,54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92796,16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  <w:t xml:space="preserve">пгт Печенга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Полезный отпуск тепла потребителям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3060,42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Тариф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руб./Гкал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21837,25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23147,49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24536,33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26008,52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27569,03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29223,17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30976,56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32835,15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34805,26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36893,58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39107,19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41453,62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43940,84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46577,29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49371,93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52334,24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55474,30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58802,75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Необходимая валовая выручка от вида деятельности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66831,16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70841,03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75091,49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79596,98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84372,80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89435,17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94801,28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100489,35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106518,71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112909,84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119684,43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126865,49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134477,42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142546,07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151098,83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160164,76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169774,65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81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179961,13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</w:tbl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14.1.5 - Тарифно-балансовые расчетные модели теплоснабжения потребления ФГБУ «ЦЖКУ»</w:t>
      </w:r>
      <w:r>
        <w:rPr>
          <w:rFonts w:cs="Times New Roman"/>
        </w:rPr>
      </w:r>
    </w:p>
    <w:tbl>
      <w:tblPr>
        <w:tblW w:w="2136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745"/>
        <w:gridCol w:w="957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>
        <w:tblPrEx/>
        <w:trPr>
          <w:trHeight w:val="362"/>
        </w:trPr>
        <w:tc>
          <w:tcPr>
            <w:shd w:val="clear" w:color="000000" w:fill="f2f2f2"/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Показатель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Ед. изм.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2039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000000" w:fill="f2f2f2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2043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W w:w="312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Полезный отпуск тепла потребителям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14454,10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W w:w="312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Тариф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руб./Гкал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7485,72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7934,86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8410,95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8915,61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9450,55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10017,58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10618,64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11255,76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11931,10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12646,97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13405,78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14210,13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15062,74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15966,50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16924,49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17939,96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19016,36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20157,34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W w:w="3120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Необходимая валовая выручка от вида деятельности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тыс. руб.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108199,35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114691,31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121572,78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128867,15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136599,18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144795,13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153482,84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162691,81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172453,32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182800,52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193768,55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205394,66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217718,34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230781,44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244628,33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259306,03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274864,39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960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291356,25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</w:tr>
    </w:tbl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  <w:sectPr>
          <w:footnotePr/>
          <w:endnotePr/>
          <w:type w:val="nextPage"/>
          <w:pgSz w:w="23811" w:h="16838" w:orient="landscape"/>
          <w:pgMar w:top="1276" w:right="1134" w:bottom="1701" w:left="851" w:header="709" w:footer="709" w:gutter="0"/>
          <w:cols w:num="1" w:sep="0" w:space="708" w:equalWidth="1"/>
          <w:docGrid w:linePitch="360"/>
        </w:sect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360" w:name="_Toc53927745"/>
      <w:r/>
      <w:bookmarkStart w:id="361" w:name="_Toc204085788"/>
      <w:r>
        <w:t xml:space="preserve">Часть 4. ОПИСАНИЕ ИЗМЕНЕНИЙ (ФАКТИЧЕСКИХ ДАННЫХ) В ОЦЕНКЕ ЦЕНОВЫХ (ТАРИФНЫХ) ПОСЛЕДСТВИЙ РЕАЛИЗАЦИИ ПРОЕКТОВ СХЕМЫ ТЕПЛОСНАБЖЕНИЯ</w:t>
      </w:r>
      <w:bookmarkEnd w:id="360"/>
      <w:r/>
      <w:bookmarkEnd w:id="361"/>
      <w:r/>
      <w:r/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23"/>
        <w:ind w:firstLine="567"/>
      </w:pPr>
      <w:r>
        <w:t xml:space="preserve">Д</w:t>
      </w:r>
      <w:r>
        <w:rPr>
          <w:spacing w:val="-2"/>
        </w:rPr>
        <w:t xml:space="preserve">а</w:t>
      </w:r>
      <w:r>
        <w:t xml:space="preserve">нн</w:t>
      </w:r>
      <w:r>
        <w:rPr>
          <w:spacing w:val="-1"/>
        </w:rPr>
        <w:t xml:space="preserve">а</w:t>
      </w:r>
      <w:r>
        <w:t xml:space="preserve">я</w:t>
      </w:r>
      <w:r>
        <w:rPr>
          <w:spacing w:val="16"/>
        </w:rPr>
        <w:t xml:space="preserve"> </w:t>
      </w:r>
      <w:r>
        <w:t xml:space="preserve">гл</w:t>
      </w:r>
      <w:r>
        <w:rPr>
          <w:spacing w:val="-1"/>
        </w:rPr>
        <w:t xml:space="preserve">а</w:t>
      </w:r>
      <w:r>
        <w:t xml:space="preserve">ва</w:t>
      </w:r>
      <w:r>
        <w:rPr>
          <w:spacing w:val="15"/>
        </w:rPr>
        <w:t xml:space="preserve"> </w:t>
      </w:r>
      <w:r>
        <w:t xml:space="preserve">откорректирована в соответствии с полученными данными.</w:t>
      </w:r>
      <w:r/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  <w:rPr>
          <w:sz w:val="28"/>
          <w:szCs w:val="28"/>
        </w:rPr>
      </w:pPr>
      <w:r/>
      <w:hyperlink r:id="rId163" w:tooltip="file:///D:\Source\Ses\Docs\Оглавление%20том%202%20%20О.М..docx#bookmark136" w:anchor="bookmark136" w:history="1">
        <w:bookmarkStart w:id="362" w:name="_Toc32845495"/>
        <w:bookmarkStart w:id="363" w:name="_Toc30085172"/>
        <w:bookmarkStart w:id="364" w:name="_Toc204085789"/>
        <w:r>
          <w:rPr>
            <w:sz w:val="28"/>
            <w:szCs w:val="28"/>
          </w:rPr>
          <w:t xml:space="preserve">ГЛАВА 15. РЕЕСТР ЕДИНЫХ ТЕПЛОСНАБЖАЮЩИХ ОРГАНИЗАЦИЙ</w:t>
        </w:r>
        <w:bookmarkEnd w:id="362"/>
        <w:bookmarkEnd w:id="363"/>
        <w:bookmarkEnd w:id="364"/>
      </w:hyperlink>
      <w:r/>
      <w:r>
        <w:rPr>
          <w:sz w:val="28"/>
          <w:szCs w:val="28"/>
        </w:rPr>
      </w:r>
    </w:p>
    <w:p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164" w:tooltip="file:///D:\Source\Ses\Docs\Оглавление%20том%202%20%20О.М..docx#bookmark137" w:anchor="bookmark137" w:history="1">
        <w:bookmarkStart w:id="365" w:name="_Toc30085173"/>
        <w:bookmarkStart w:id="366" w:name="_Toc32845496"/>
        <w:bookmarkStart w:id="367" w:name="_Toc204085790"/>
        <w:r>
          <w:t xml:space="preserve">Часть 1. РЕЕСТР СИСТЕМ ТЕПЛОСНАБЖЕНИЯ, СОДЕРЖАЩИЙ ПЕРЕЧЕНЬ</w:t>
        </w:r>
      </w:hyperlink>
      <w:r>
        <w:t xml:space="preserve"> </w:t>
      </w:r>
      <w:hyperlink r:id="rId165" w:tooltip="file:///D:\Source\Ses\Docs\Оглавление%20том%202%20%20О.М..docx#bookmark137" w:anchor="bookmark137" w:history="1">
        <w:r>
          <w:t xml:space="preserve">ТЕПЛОСНАБЖАЮЩИХ ОРГАНИЗАЦИЙ, ДЕЙСТВУЮЩИХ В КАЖДОЙ СИСТЕМЕ</w:t>
        </w:r>
      </w:hyperlink>
      <w:r>
        <w:t xml:space="preserve"> </w:t>
      </w:r>
      <w:hyperlink r:id="rId166" w:tooltip="file:///D:\Source\Ses\Docs\Оглавление%20том%202%20%20О.М..docx#bookmark137" w:anchor="bookmark137" w:history="1">
        <w:r>
          <w:t xml:space="preserve">ТЕПЛОСНАБЖЕНИЯ, РАСПОЛОЖЕННЫХ В ГРАНИЦАХ ПОСЕЛЕНИЯ, ГОРОДСКОГО</w:t>
        </w:r>
      </w:hyperlink>
      <w:r>
        <w:t xml:space="preserve"> </w:t>
      </w:r>
      <w:hyperlink r:id="rId167" w:tooltip="file:///D:\Source\Ses\Docs\Оглавление%20том%202%20%20О.М..docx#bookmark137" w:anchor="bookmark137" w:history="1">
        <w:r>
          <w:t xml:space="preserve">ОКРУГА, ГОРОДА ФЕДЕРАЛЬНОГО ЗНАЧЕНИЯ</w:t>
        </w:r>
        <w:bookmarkEnd w:id="365"/>
        <w:bookmarkEnd w:id="366"/>
        <w:bookmarkEnd w:id="367"/>
      </w:hyperlink>
      <w:r/>
      <w:r/>
    </w:p>
    <w:p>
      <w:pPr>
        <w:ind w:left="116" w:right="106" w:firstLine="710"/>
        <w:jc w:val="both"/>
        <w:spacing w:line="250" w:lineRule="exact"/>
        <w:rPr>
          <w:rFonts w:eastAsia="Times New Roman" w:cs="Times New Roman"/>
        </w:rPr>
      </w:pPr>
      <w:r>
        <w:rPr>
          <w:rFonts w:eastAsia="Times New Roman" w:cs="Times New Roman"/>
        </w:rPr>
      </w:r>
      <w:r>
        <w:rPr>
          <w:rFonts w:eastAsia="Times New Roman" w:cs="Times New Roman"/>
        </w:rPr>
      </w:r>
    </w:p>
    <w:p>
      <w:pPr>
        <w:ind w:firstLine="71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</w:t>
      </w:r>
      <w:r>
        <w:rPr>
          <w:rFonts w:eastAsia="Times New Roman" w:cs="Times New Roman"/>
          <w:spacing w:val="8"/>
        </w:rPr>
        <w:t xml:space="preserve"> </w:t>
      </w:r>
      <w:r>
        <w:rPr>
          <w:rFonts w:eastAsia="Times New Roman" w:cs="Times New Roman"/>
        </w:rPr>
        <w:t xml:space="preserve">т</w:t>
      </w:r>
      <w:r>
        <w:rPr>
          <w:rFonts w:eastAsia="Times New Roman" w:cs="Times New Roman"/>
          <w:spacing w:val="-3"/>
        </w:rPr>
        <w:t xml:space="preserve">а</w:t>
      </w:r>
      <w:r>
        <w:rPr>
          <w:rFonts w:eastAsia="Times New Roman" w:cs="Times New Roman"/>
          <w:spacing w:val="2"/>
        </w:rPr>
        <w:t xml:space="preserve">б</w:t>
      </w:r>
      <w:r>
        <w:rPr>
          <w:rFonts w:eastAsia="Times New Roman" w:cs="Times New Roman"/>
          <w:spacing w:val="-5"/>
        </w:rPr>
        <w:t xml:space="preserve">л</w:t>
      </w:r>
      <w:r>
        <w:rPr>
          <w:rFonts w:eastAsia="Times New Roman" w:cs="Times New Roman"/>
          <w:spacing w:val="-3"/>
        </w:rPr>
        <w:t xml:space="preserve">и</w:t>
      </w:r>
      <w:r>
        <w:rPr>
          <w:rFonts w:eastAsia="Times New Roman" w:cs="Times New Roman"/>
          <w:spacing w:val="6"/>
        </w:rPr>
        <w:t xml:space="preserve">ц</w:t>
      </w:r>
      <w:r>
        <w:rPr>
          <w:rFonts w:eastAsia="Times New Roman" w:cs="Times New Roman"/>
        </w:rPr>
        <w:t xml:space="preserve">е</w:t>
      </w:r>
      <w:r>
        <w:rPr>
          <w:rFonts w:eastAsia="Times New Roman" w:cs="Times New Roman"/>
          <w:spacing w:val="19"/>
        </w:rPr>
        <w:t xml:space="preserve"> </w:t>
      </w:r>
      <w:r>
        <w:rPr>
          <w:rFonts w:eastAsia="Times New Roman" w:cs="Times New Roman"/>
          <w:spacing w:val="-3"/>
        </w:rPr>
        <w:t xml:space="preserve">п</w:t>
      </w:r>
      <w:r>
        <w:rPr>
          <w:rFonts w:eastAsia="Times New Roman" w:cs="Times New Roman"/>
          <w:spacing w:val="4"/>
        </w:rPr>
        <w:t xml:space="preserve">р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  <w:spacing w:val="2"/>
        </w:rPr>
        <w:t xml:space="preserve">д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</w:rPr>
        <w:t xml:space="preserve">т</w:t>
      </w:r>
      <w:r>
        <w:rPr>
          <w:rFonts w:eastAsia="Times New Roman" w:cs="Times New Roman"/>
          <w:spacing w:val="-3"/>
        </w:rPr>
        <w:t xml:space="preserve">а</w:t>
      </w:r>
      <w:r>
        <w:rPr>
          <w:rFonts w:eastAsia="Times New Roman" w:cs="Times New Roman"/>
          <w:spacing w:val="1"/>
        </w:rPr>
        <w:t xml:space="preserve">в</w:t>
      </w:r>
      <w:r>
        <w:rPr>
          <w:rFonts w:eastAsia="Times New Roman" w:cs="Times New Roman"/>
          <w:spacing w:val="-5"/>
        </w:rPr>
        <w:t xml:space="preserve">л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</w:rPr>
        <w:t xml:space="preserve">н</w:t>
      </w:r>
      <w:r>
        <w:rPr>
          <w:rFonts w:eastAsia="Times New Roman" w:cs="Times New Roman"/>
          <w:spacing w:val="18"/>
        </w:rPr>
        <w:t xml:space="preserve"> </w:t>
      </w:r>
      <w:r>
        <w:rPr>
          <w:rFonts w:eastAsia="Times New Roman" w:cs="Times New Roman"/>
          <w:spacing w:val="4"/>
        </w:rPr>
        <w:t xml:space="preserve">р</w:t>
      </w:r>
      <w:r>
        <w:rPr>
          <w:rFonts w:eastAsia="Times New Roman" w:cs="Times New Roman"/>
          <w:spacing w:val="-2"/>
        </w:rPr>
        <w:t xml:space="preserve">еес</w:t>
      </w:r>
      <w:r>
        <w:rPr>
          <w:rFonts w:eastAsia="Times New Roman" w:cs="Times New Roman"/>
        </w:rPr>
        <w:t xml:space="preserve">тр</w:t>
      </w:r>
      <w:r>
        <w:rPr>
          <w:rFonts w:eastAsia="Times New Roman" w:cs="Times New Roman"/>
          <w:spacing w:val="25"/>
        </w:rPr>
        <w:t xml:space="preserve"> 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  <w:spacing w:val="-3"/>
        </w:rPr>
        <w:t xml:space="preserve">и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</w:rPr>
        <w:t xml:space="preserve">т</w:t>
      </w:r>
      <w:r>
        <w:rPr>
          <w:rFonts w:eastAsia="Times New Roman" w:cs="Times New Roman"/>
          <w:spacing w:val="-3"/>
        </w:rPr>
        <w:t xml:space="preserve">е</w:t>
      </w:r>
      <w:r>
        <w:rPr>
          <w:rFonts w:eastAsia="Times New Roman" w:cs="Times New Roman"/>
        </w:rPr>
        <w:t xml:space="preserve">м</w:t>
      </w:r>
      <w:r>
        <w:rPr>
          <w:rFonts w:eastAsia="Times New Roman" w:cs="Times New Roman"/>
          <w:spacing w:val="16"/>
        </w:rPr>
        <w:t xml:space="preserve"> </w:t>
      </w:r>
      <w:r>
        <w:rPr>
          <w:rFonts w:eastAsia="Times New Roman" w:cs="Times New Roman"/>
        </w:rPr>
        <w:t xml:space="preserve">т</w:t>
      </w:r>
      <w:r>
        <w:rPr>
          <w:rFonts w:eastAsia="Times New Roman" w:cs="Times New Roman"/>
          <w:spacing w:val="-3"/>
        </w:rPr>
        <w:t xml:space="preserve">еп</w:t>
      </w:r>
      <w:r>
        <w:rPr>
          <w:rFonts w:eastAsia="Times New Roman" w:cs="Times New Roman"/>
          <w:spacing w:val="-5"/>
        </w:rPr>
        <w:t xml:space="preserve">л</w:t>
      </w:r>
      <w:r>
        <w:rPr>
          <w:rFonts w:eastAsia="Times New Roman" w:cs="Times New Roman"/>
          <w:spacing w:val="4"/>
        </w:rPr>
        <w:t xml:space="preserve">о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  <w:spacing w:val="-3"/>
        </w:rPr>
        <w:t xml:space="preserve">н</w:t>
      </w:r>
      <w:r>
        <w:rPr>
          <w:rFonts w:eastAsia="Times New Roman" w:cs="Times New Roman"/>
          <w:spacing w:val="-2"/>
        </w:rPr>
        <w:t xml:space="preserve">а</w:t>
      </w:r>
      <w:r>
        <w:rPr>
          <w:rFonts w:eastAsia="Times New Roman" w:cs="Times New Roman"/>
          <w:spacing w:val="2"/>
        </w:rPr>
        <w:t xml:space="preserve">б</w:t>
      </w:r>
      <w:r>
        <w:rPr>
          <w:rFonts w:eastAsia="Times New Roman" w:cs="Times New Roman"/>
        </w:rPr>
        <w:t xml:space="preserve">ж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  <w:spacing w:val="-3"/>
        </w:rPr>
        <w:t xml:space="preserve">ни</w:t>
      </w:r>
      <w:r>
        <w:rPr>
          <w:rFonts w:eastAsia="Times New Roman" w:cs="Times New Roman"/>
          <w:spacing w:val="3"/>
        </w:rPr>
        <w:t xml:space="preserve">я</w:t>
      </w:r>
      <w:r>
        <w:rPr>
          <w:rFonts w:eastAsia="Times New Roman" w:cs="Times New Roman"/>
        </w:rPr>
        <w:t xml:space="preserve">,</w:t>
      </w:r>
      <w:r>
        <w:rPr>
          <w:rFonts w:eastAsia="Times New Roman" w:cs="Times New Roman"/>
          <w:spacing w:val="23"/>
        </w:rPr>
        <w:t xml:space="preserve"> 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  <w:spacing w:val="4"/>
        </w:rPr>
        <w:t xml:space="preserve">о</w:t>
      </w:r>
      <w:r>
        <w:rPr>
          <w:rFonts w:eastAsia="Times New Roman" w:cs="Times New Roman"/>
          <w:spacing w:val="2"/>
        </w:rPr>
        <w:t xml:space="preserve">д</w:t>
      </w:r>
      <w:r>
        <w:rPr>
          <w:rFonts w:eastAsia="Times New Roman" w:cs="Times New Roman"/>
          <w:spacing w:val="-12"/>
        </w:rPr>
        <w:t xml:space="preserve">е</w:t>
      </w:r>
      <w:r>
        <w:rPr>
          <w:rFonts w:eastAsia="Times New Roman" w:cs="Times New Roman"/>
          <w:spacing w:val="4"/>
        </w:rPr>
        <w:t xml:space="preserve">р</w:t>
      </w:r>
      <w:r>
        <w:rPr>
          <w:rFonts w:eastAsia="Times New Roman" w:cs="Times New Roman"/>
        </w:rPr>
        <w:t xml:space="preserve">ж</w:t>
      </w:r>
      <w:r>
        <w:rPr>
          <w:rFonts w:eastAsia="Times New Roman" w:cs="Times New Roman"/>
          <w:spacing w:val="-2"/>
        </w:rPr>
        <w:t xml:space="preserve">а</w:t>
      </w:r>
      <w:r>
        <w:rPr>
          <w:rFonts w:eastAsia="Times New Roman" w:cs="Times New Roman"/>
          <w:spacing w:val="2"/>
        </w:rPr>
        <w:t xml:space="preserve">щ</w:t>
      </w:r>
      <w:r>
        <w:rPr>
          <w:rFonts w:eastAsia="Times New Roman" w:cs="Times New Roman"/>
          <w:spacing w:val="-3"/>
        </w:rPr>
        <w:t xml:space="preserve">и</w:t>
      </w:r>
      <w:r>
        <w:rPr>
          <w:rFonts w:eastAsia="Times New Roman" w:cs="Times New Roman"/>
        </w:rPr>
        <w:t xml:space="preserve">й</w:t>
      </w:r>
      <w:r>
        <w:rPr>
          <w:rFonts w:eastAsia="Times New Roman" w:cs="Times New Roman"/>
          <w:spacing w:val="18"/>
        </w:rPr>
        <w:t xml:space="preserve"> </w:t>
      </w:r>
      <w:r>
        <w:rPr>
          <w:rFonts w:eastAsia="Times New Roman" w:cs="Times New Roman"/>
          <w:spacing w:val="-3"/>
        </w:rPr>
        <w:t xml:space="preserve">п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  <w:spacing w:val="4"/>
        </w:rPr>
        <w:t xml:space="preserve">р</w:t>
      </w:r>
      <w:r>
        <w:rPr>
          <w:rFonts w:eastAsia="Times New Roman" w:cs="Times New Roman"/>
          <w:spacing w:val="-12"/>
        </w:rPr>
        <w:t xml:space="preserve">е</w:t>
      </w:r>
      <w:r>
        <w:rPr>
          <w:rFonts w:eastAsia="Times New Roman" w:cs="Times New Roman"/>
          <w:spacing w:val="3"/>
        </w:rPr>
        <w:t xml:space="preserve">ч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  <w:spacing w:val="-3"/>
        </w:rPr>
        <w:t xml:space="preserve">н</w:t>
      </w:r>
      <w:r>
        <w:rPr>
          <w:rFonts w:eastAsia="Times New Roman" w:cs="Times New Roman"/>
        </w:rPr>
        <w:t xml:space="preserve">ь</w:t>
      </w:r>
      <w:r>
        <w:rPr>
          <w:rFonts w:eastAsia="Times New Roman" w:cs="Times New Roman"/>
          <w:spacing w:val="17"/>
        </w:rPr>
        <w:t xml:space="preserve"> </w:t>
      </w:r>
      <w:r>
        <w:rPr>
          <w:rFonts w:eastAsia="Times New Roman" w:cs="Times New Roman"/>
        </w:rPr>
        <w:t xml:space="preserve">т</w:t>
      </w:r>
      <w:r>
        <w:rPr>
          <w:rFonts w:eastAsia="Times New Roman" w:cs="Times New Roman"/>
          <w:spacing w:val="-3"/>
        </w:rPr>
        <w:t xml:space="preserve">еп</w:t>
      </w:r>
      <w:r>
        <w:rPr>
          <w:rFonts w:eastAsia="Times New Roman" w:cs="Times New Roman"/>
          <w:spacing w:val="-5"/>
        </w:rPr>
        <w:t xml:space="preserve">л</w:t>
      </w:r>
      <w:r>
        <w:rPr>
          <w:rFonts w:eastAsia="Times New Roman" w:cs="Times New Roman"/>
          <w:spacing w:val="4"/>
        </w:rPr>
        <w:t xml:space="preserve">о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  <w:spacing w:val="-3"/>
        </w:rPr>
        <w:t xml:space="preserve">н</w:t>
      </w:r>
      <w:r>
        <w:rPr>
          <w:rFonts w:eastAsia="Times New Roman" w:cs="Times New Roman"/>
          <w:spacing w:val="-2"/>
        </w:rPr>
        <w:t xml:space="preserve">а</w:t>
      </w:r>
      <w:r>
        <w:rPr>
          <w:rFonts w:eastAsia="Times New Roman" w:cs="Times New Roman"/>
          <w:spacing w:val="2"/>
        </w:rPr>
        <w:t xml:space="preserve">б</w:t>
      </w:r>
      <w:r>
        <w:rPr>
          <w:rFonts w:eastAsia="Times New Roman" w:cs="Times New Roman"/>
        </w:rPr>
        <w:t xml:space="preserve">ж</w:t>
      </w:r>
      <w:r>
        <w:rPr>
          <w:rFonts w:eastAsia="Times New Roman" w:cs="Times New Roman"/>
          <w:spacing w:val="-2"/>
        </w:rPr>
        <w:t xml:space="preserve">аю</w:t>
      </w:r>
      <w:r>
        <w:rPr>
          <w:rFonts w:eastAsia="Times New Roman" w:cs="Times New Roman"/>
          <w:spacing w:val="2"/>
        </w:rPr>
        <w:t xml:space="preserve">щ</w:t>
      </w:r>
      <w:r>
        <w:rPr>
          <w:rFonts w:eastAsia="Times New Roman" w:cs="Times New Roman"/>
          <w:spacing w:val="-3"/>
        </w:rPr>
        <w:t xml:space="preserve">и</w:t>
      </w:r>
      <w:r>
        <w:rPr>
          <w:rFonts w:eastAsia="Times New Roman" w:cs="Times New Roman"/>
        </w:rPr>
        <w:t xml:space="preserve">х </w:t>
      </w:r>
      <w:r>
        <w:rPr>
          <w:rFonts w:eastAsia="Times New Roman" w:cs="Times New Roman"/>
          <w:spacing w:val="4"/>
        </w:rPr>
        <w:t xml:space="preserve">ор</w:t>
      </w:r>
      <w:r>
        <w:rPr>
          <w:rFonts w:eastAsia="Times New Roman" w:cs="Times New Roman"/>
          <w:spacing w:val="-5"/>
        </w:rPr>
        <w:t xml:space="preserve">г</w:t>
      </w:r>
      <w:r>
        <w:rPr>
          <w:rFonts w:eastAsia="Times New Roman" w:cs="Times New Roman"/>
          <w:spacing w:val="-2"/>
        </w:rPr>
        <w:t xml:space="preserve">а</w:t>
      </w:r>
      <w:r>
        <w:rPr>
          <w:rFonts w:eastAsia="Times New Roman" w:cs="Times New Roman"/>
          <w:spacing w:val="-3"/>
        </w:rPr>
        <w:t xml:space="preserve">ни</w:t>
      </w:r>
      <w:r>
        <w:rPr>
          <w:rFonts w:eastAsia="Times New Roman" w:cs="Times New Roman"/>
          <w:spacing w:val="-1"/>
        </w:rPr>
        <w:t xml:space="preserve">з</w:t>
      </w:r>
      <w:r>
        <w:rPr>
          <w:rFonts w:eastAsia="Times New Roman" w:cs="Times New Roman"/>
          <w:spacing w:val="-2"/>
        </w:rPr>
        <w:t xml:space="preserve">а</w:t>
      </w:r>
      <w:r>
        <w:rPr>
          <w:rFonts w:eastAsia="Times New Roman" w:cs="Times New Roman"/>
          <w:spacing w:val="-3"/>
        </w:rPr>
        <w:t xml:space="preserve">ций</w:t>
      </w:r>
      <w:r>
        <w:rPr>
          <w:rFonts w:eastAsia="Times New Roman" w:cs="Times New Roman"/>
        </w:rPr>
        <w:t xml:space="preserve">,</w:t>
      </w:r>
      <w:r>
        <w:rPr>
          <w:rFonts w:eastAsia="Times New Roman" w:cs="Times New Roman"/>
          <w:spacing w:val="45"/>
        </w:rPr>
        <w:t xml:space="preserve"> </w:t>
      </w:r>
      <w:r>
        <w:rPr>
          <w:rFonts w:eastAsia="Times New Roman" w:cs="Times New Roman"/>
          <w:spacing w:val="2"/>
        </w:rPr>
        <w:t xml:space="preserve">д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  <w:spacing w:val="-3"/>
        </w:rPr>
        <w:t xml:space="preserve">й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</w:rPr>
        <w:t xml:space="preserve">тв</w:t>
      </w:r>
      <w:r>
        <w:rPr>
          <w:rFonts w:eastAsia="Times New Roman" w:cs="Times New Roman"/>
          <w:spacing w:val="-5"/>
        </w:rPr>
        <w:t xml:space="preserve">у</w:t>
      </w:r>
      <w:r>
        <w:rPr>
          <w:rFonts w:eastAsia="Times New Roman" w:cs="Times New Roman"/>
          <w:spacing w:val="-2"/>
        </w:rPr>
        <w:t xml:space="preserve">ю</w:t>
      </w:r>
      <w:r>
        <w:rPr>
          <w:rFonts w:eastAsia="Times New Roman" w:cs="Times New Roman"/>
          <w:spacing w:val="2"/>
        </w:rPr>
        <w:t xml:space="preserve">щ</w:t>
      </w:r>
      <w:r>
        <w:rPr>
          <w:rFonts w:eastAsia="Times New Roman" w:cs="Times New Roman"/>
          <w:spacing w:val="-3"/>
        </w:rPr>
        <w:t xml:space="preserve">и</w:t>
      </w:r>
      <w:r>
        <w:rPr>
          <w:rFonts w:eastAsia="Times New Roman" w:cs="Times New Roman"/>
        </w:rPr>
        <w:t xml:space="preserve">х</w:t>
      </w:r>
      <w:r>
        <w:rPr>
          <w:rFonts w:eastAsia="Times New Roman" w:cs="Times New Roman"/>
          <w:spacing w:val="38"/>
        </w:rPr>
        <w:t xml:space="preserve"> </w:t>
      </w:r>
      <w:r>
        <w:rPr>
          <w:rFonts w:eastAsia="Times New Roman" w:cs="Times New Roman"/>
        </w:rPr>
        <w:t xml:space="preserve">в</w:t>
      </w:r>
      <w:r>
        <w:rPr>
          <w:rFonts w:eastAsia="Times New Roman" w:cs="Times New Roman"/>
          <w:spacing w:val="44"/>
        </w:rPr>
        <w:t xml:space="preserve"> </w:t>
      </w:r>
      <w:r>
        <w:rPr>
          <w:rFonts w:eastAsia="Times New Roman" w:cs="Times New Roman"/>
          <w:spacing w:val="-2"/>
        </w:rPr>
        <w:t xml:space="preserve">ка</w:t>
      </w:r>
      <w:r>
        <w:rPr>
          <w:rFonts w:eastAsia="Times New Roman" w:cs="Times New Roman"/>
        </w:rPr>
        <w:t xml:space="preserve">ж</w:t>
      </w:r>
      <w:r>
        <w:rPr>
          <w:rFonts w:eastAsia="Times New Roman" w:cs="Times New Roman"/>
          <w:spacing w:val="2"/>
        </w:rPr>
        <w:t xml:space="preserve">д</w:t>
      </w:r>
      <w:r>
        <w:rPr>
          <w:rFonts w:eastAsia="Times New Roman" w:cs="Times New Roman"/>
          <w:spacing w:val="4"/>
        </w:rPr>
        <w:t xml:space="preserve">о</w:t>
      </w:r>
      <w:r>
        <w:rPr>
          <w:rFonts w:eastAsia="Times New Roman" w:cs="Times New Roman"/>
        </w:rPr>
        <w:t xml:space="preserve">й</w:t>
      </w:r>
      <w:r>
        <w:rPr>
          <w:rFonts w:eastAsia="Times New Roman" w:cs="Times New Roman"/>
          <w:spacing w:val="40"/>
        </w:rPr>
        <w:t xml:space="preserve"> 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  <w:spacing w:val="-3"/>
        </w:rPr>
        <w:t xml:space="preserve">и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</w:rPr>
        <w:t xml:space="preserve">т</w:t>
      </w:r>
      <w:r>
        <w:rPr>
          <w:rFonts w:eastAsia="Times New Roman" w:cs="Times New Roman"/>
          <w:spacing w:val="-3"/>
        </w:rPr>
        <w:t xml:space="preserve">е</w:t>
      </w:r>
      <w:r>
        <w:rPr>
          <w:rFonts w:eastAsia="Times New Roman" w:cs="Times New Roman"/>
          <w:spacing w:val="3"/>
        </w:rPr>
        <w:t xml:space="preserve">м</w:t>
      </w:r>
      <w:r>
        <w:rPr>
          <w:rFonts w:eastAsia="Times New Roman" w:cs="Times New Roman"/>
        </w:rPr>
        <w:t xml:space="preserve">е</w:t>
      </w:r>
      <w:r>
        <w:rPr>
          <w:rFonts w:eastAsia="Times New Roman" w:cs="Times New Roman"/>
          <w:spacing w:val="47"/>
        </w:rPr>
        <w:t xml:space="preserve"> </w:t>
      </w:r>
      <w:r>
        <w:rPr>
          <w:rFonts w:eastAsia="Times New Roman" w:cs="Times New Roman"/>
        </w:rPr>
        <w:t xml:space="preserve">т</w:t>
      </w:r>
      <w:r>
        <w:rPr>
          <w:rFonts w:eastAsia="Times New Roman" w:cs="Times New Roman"/>
          <w:spacing w:val="-3"/>
        </w:rPr>
        <w:t xml:space="preserve">еп</w:t>
      </w:r>
      <w:r>
        <w:rPr>
          <w:rFonts w:eastAsia="Times New Roman" w:cs="Times New Roman"/>
          <w:spacing w:val="-5"/>
        </w:rPr>
        <w:t xml:space="preserve">л</w:t>
      </w:r>
      <w:r>
        <w:rPr>
          <w:rFonts w:eastAsia="Times New Roman" w:cs="Times New Roman"/>
          <w:spacing w:val="4"/>
        </w:rPr>
        <w:t xml:space="preserve">о</w:t>
      </w:r>
      <w:r>
        <w:rPr>
          <w:rFonts w:eastAsia="Times New Roman" w:cs="Times New Roman"/>
          <w:spacing w:val="-2"/>
        </w:rPr>
        <w:t xml:space="preserve">с</w:t>
      </w:r>
      <w:r>
        <w:rPr>
          <w:rFonts w:eastAsia="Times New Roman" w:cs="Times New Roman"/>
          <w:spacing w:val="-3"/>
        </w:rPr>
        <w:t xml:space="preserve">н</w:t>
      </w:r>
      <w:r>
        <w:rPr>
          <w:rFonts w:eastAsia="Times New Roman" w:cs="Times New Roman"/>
          <w:spacing w:val="-2"/>
        </w:rPr>
        <w:t xml:space="preserve">а</w:t>
      </w:r>
      <w:r>
        <w:rPr>
          <w:rFonts w:eastAsia="Times New Roman" w:cs="Times New Roman"/>
          <w:spacing w:val="2"/>
        </w:rPr>
        <w:t xml:space="preserve">б</w:t>
      </w:r>
      <w:r>
        <w:rPr>
          <w:rFonts w:eastAsia="Times New Roman" w:cs="Times New Roman"/>
        </w:rPr>
        <w:t xml:space="preserve">ж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  <w:spacing w:val="-3"/>
        </w:rPr>
        <w:t xml:space="preserve">ни</w:t>
      </w:r>
      <w:r>
        <w:rPr>
          <w:rFonts w:eastAsia="Times New Roman" w:cs="Times New Roman"/>
          <w:spacing w:val="3"/>
        </w:rPr>
        <w:t xml:space="preserve">я</w:t>
      </w:r>
      <w:r>
        <w:rPr>
          <w:rFonts w:eastAsia="Times New Roman" w:cs="Times New Roman"/>
        </w:rPr>
        <w:t xml:space="preserve">,</w:t>
      </w:r>
      <w:r>
        <w:rPr>
          <w:rFonts w:eastAsia="Times New Roman" w:cs="Times New Roman"/>
          <w:spacing w:val="45"/>
        </w:rPr>
        <w:t xml:space="preserve"> </w:t>
      </w:r>
      <w:r>
        <w:rPr>
          <w:rFonts w:eastAsia="Times New Roman" w:cs="Times New Roman"/>
          <w:spacing w:val="4"/>
        </w:rPr>
        <w:t xml:space="preserve">р</w:t>
      </w:r>
      <w:r>
        <w:rPr>
          <w:rFonts w:eastAsia="Times New Roman" w:cs="Times New Roman"/>
          <w:spacing w:val="-2"/>
        </w:rPr>
        <w:t xml:space="preserve">ас</w:t>
      </w:r>
      <w:r>
        <w:rPr>
          <w:rFonts w:eastAsia="Times New Roman" w:cs="Times New Roman"/>
          <w:spacing w:val="-3"/>
        </w:rPr>
        <w:t xml:space="preserve">п</w:t>
      </w:r>
      <w:r>
        <w:rPr>
          <w:rFonts w:eastAsia="Times New Roman" w:cs="Times New Roman"/>
          <w:spacing w:val="4"/>
        </w:rPr>
        <w:t xml:space="preserve">о</w:t>
      </w:r>
      <w:r>
        <w:rPr>
          <w:rFonts w:eastAsia="Times New Roman" w:cs="Times New Roman"/>
          <w:spacing w:val="-5"/>
        </w:rPr>
        <w:t xml:space="preserve">л</w:t>
      </w:r>
      <w:r>
        <w:rPr>
          <w:rFonts w:eastAsia="Times New Roman" w:cs="Times New Roman"/>
          <w:spacing w:val="4"/>
        </w:rPr>
        <w:t xml:space="preserve">о</w:t>
      </w:r>
      <w:r>
        <w:rPr>
          <w:rFonts w:eastAsia="Times New Roman" w:cs="Times New Roman"/>
        </w:rPr>
        <w:t xml:space="preserve">ж</w:t>
      </w:r>
      <w:r>
        <w:rPr>
          <w:rFonts w:eastAsia="Times New Roman" w:cs="Times New Roman"/>
          <w:spacing w:val="-2"/>
        </w:rPr>
        <w:t xml:space="preserve">е</w:t>
      </w:r>
      <w:r>
        <w:rPr>
          <w:rFonts w:eastAsia="Times New Roman" w:cs="Times New Roman"/>
          <w:spacing w:val="-3"/>
        </w:rPr>
        <w:t xml:space="preserve">нн</w:t>
      </w:r>
      <w:r>
        <w:rPr>
          <w:rFonts w:eastAsia="Times New Roman" w:cs="Times New Roman"/>
          <w:spacing w:val="-5"/>
        </w:rPr>
        <w:t xml:space="preserve">ы</w:t>
      </w:r>
      <w:r>
        <w:rPr>
          <w:rFonts w:eastAsia="Times New Roman" w:cs="Times New Roman"/>
        </w:rPr>
        <w:t xml:space="preserve">х</w:t>
      </w:r>
      <w:r>
        <w:rPr>
          <w:rFonts w:eastAsia="Times New Roman" w:cs="Times New Roman"/>
          <w:spacing w:val="38"/>
        </w:rPr>
        <w:t xml:space="preserve"> </w:t>
      </w:r>
      <w:r>
        <w:rPr>
          <w:rFonts w:eastAsia="Times New Roman" w:cs="Times New Roman"/>
        </w:rPr>
        <w:t xml:space="preserve">в</w:t>
      </w:r>
      <w:r>
        <w:rPr>
          <w:rFonts w:eastAsia="Times New Roman" w:cs="Times New Roman"/>
          <w:spacing w:val="44"/>
        </w:rPr>
        <w:t xml:space="preserve"> </w:t>
      </w:r>
      <w:r>
        <w:rPr>
          <w:rFonts w:eastAsia="Times New Roman" w:cs="Times New Roman"/>
          <w:spacing w:val="3"/>
        </w:rPr>
        <w:t xml:space="preserve">м</w:t>
      </w:r>
      <w:r>
        <w:rPr>
          <w:rFonts w:eastAsia="Times New Roman" w:cs="Times New Roman"/>
          <w:spacing w:val="-5"/>
        </w:rPr>
        <w:t xml:space="preserve">у</w:t>
      </w:r>
      <w:r>
        <w:rPr>
          <w:rFonts w:eastAsia="Times New Roman" w:cs="Times New Roman"/>
          <w:spacing w:val="-3"/>
        </w:rPr>
        <w:t xml:space="preserve">ницип</w:t>
      </w:r>
      <w:r>
        <w:rPr>
          <w:rFonts w:eastAsia="Times New Roman" w:cs="Times New Roman"/>
          <w:spacing w:val="-2"/>
        </w:rPr>
        <w:t xml:space="preserve">а</w:t>
      </w:r>
      <w:r>
        <w:rPr>
          <w:rFonts w:eastAsia="Times New Roman" w:cs="Times New Roman"/>
          <w:spacing w:val="-5"/>
        </w:rPr>
        <w:t xml:space="preserve">л</w:t>
      </w:r>
      <w:r>
        <w:rPr>
          <w:rFonts w:eastAsia="Times New Roman" w:cs="Times New Roman"/>
          <w:spacing w:val="4"/>
        </w:rPr>
        <w:t xml:space="preserve">ь</w:t>
      </w:r>
      <w:r>
        <w:rPr>
          <w:rFonts w:eastAsia="Times New Roman" w:cs="Times New Roman"/>
          <w:spacing w:val="6"/>
        </w:rPr>
        <w:t xml:space="preserve">н</w:t>
      </w:r>
      <w:r>
        <w:rPr>
          <w:rFonts w:eastAsia="Times New Roman" w:cs="Times New Roman"/>
          <w:spacing w:val="-5"/>
        </w:rPr>
        <w:t xml:space="preserve">о</w:t>
      </w:r>
      <w:r>
        <w:rPr>
          <w:rFonts w:eastAsia="Times New Roman" w:cs="Times New Roman"/>
        </w:rPr>
        <w:t xml:space="preserve">м </w:t>
      </w:r>
      <w:r>
        <w:rPr>
          <w:rFonts w:eastAsia="Times New Roman" w:cs="Times New Roman"/>
          <w:spacing w:val="4"/>
        </w:rPr>
        <w:t xml:space="preserve">о</w:t>
      </w:r>
      <w:r>
        <w:rPr>
          <w:rFonts w:eastAsia="Times New Roman" w:cs="Times New Roman"/>
          <w:spacing w:val="2"/>
        </w:rPr>
        <w:t xml:space="preserve">б</w:t>
      </w:r>
      <w:r>
        <w:rPr>
          <w:rFonts w:eastAsia="Times New Roman" w:cs="Times New Roman"/>
          <w:spacing w:val="4"/>
        </w:rPr>
        <w:t xml:space="preserve">р</w:t>
      </w:r>
      <w:r>
        <w:rPr>
          <w:rFonts w:eastAsia="Times New Roman" w:cs="Times New Roman"/>
          <w:spacing w:val="-2"/>
        </w:rPr>
        <w:t xml:space="preserve">а</w:t>
      </w:r>
      <w:r>
        <w:rPr>
          <w:rFonts w:eastAsia="Times New Roman" w:cs="Times New Roman"/>
          <w:spacing w:val="-11"/>
        </w:rPr>
        <w:t xml:space="preserve">з</w:t>
      </w:r>
      <w:r>
        <w:rPr>
          <w:rFonts w:eastAsia="Times New Roman" w:cs="Times New Roman"/>
          <w:spacing w:val="4"/>
        </w:rPr>
        <w:t xml:space="preserve">о</w:t>
      </w:r>
      <w:r>
        <w:rPr>
          <w:rFonts w:eastAsia="Times New Roman" w:cs="Times New Roman"/>
          <w:spacing w:val="1"/>
        </w:rPr>
        <w:t xml:space="preserve">в</w:t>
      </w:r>
      <w:r>
        <w:rPr>
          <w:rFonts w:eastAsia="Times New Roman" w:cs="Times New Roman"/>
          <w:spacing w:val="-2"/>
        </w:rPr>
        <w:t xml:space="preserve">а</w:t>
      </w:r>
      <w:r>
        <w:rPr>
          <w:rFonts w:eastAsia="Times New Roman" w:cs="Times New Roman"/>
          <w:spacing w:val="-3"/>
        </w:rPr>
        <w:t xml:space="preserve">ни</w:t>
      </w:r>
      <w:r>
        <w:rPr>
          <w:rFonts w:eastAsia="Times New Roman" w:cs="Times New Roman"/>
        </w:rPr>
        <w:t xml:space="preserve">и</w:t>
      </w:r>
      <w:r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</w:rPr>
        <w:t xml:space="preserve">Печенгский муниципальный округ.</w:t>
      </w:r>
      <w:r>
        <w:rPr>
          <w:rFonts w:eastAsia="Times New Roman" w:cs="Times New Roman"/>
        </w:rPr>
      </w:r>
    </w:p>
    <w:p>
      <w:pPr>
        <w:pStyle w:val="728"/>
        <w:jc w:val="center"/>
        <w:rPr>
          <w:rFonts w:eastAsia="Times New Roman" w:cs="Times New Roman"/>
          <w:sz w:val="22"/>
        </w:rPr>
      </w:pPr>
      <w:r/>
      <w:bookmarkStart w:id="368" w:name="OLE_LINK19"/>
      <w:r/>
      <w:bookmarkStart w:id="369" w:name="OLE_LINK20"/>
      <w:r/>
      <w:bookmarkStart w:id="370" w:name="OLE_LINK21"/>
      <w:r/>
      <w:bookmarkEnd w:id="368"/>
      <w:r/>
      <w:bookmarkEnd w:id="369"/>
      <w:r/>
      <w:bookmarkEnd w:id="370"/>
      <w:r/>
      <w:r>
        <w:rPr>
          <w:rFonts w:eastAsia="Times New Roman" w:cs="Times New Roman"/>
          <w:sz w:val="22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15.1.1 - Реестр систем теплоснабжения</w:t>
      </w:r>
      <w:r>
        <w:rPr>
          <w:rFonts w:cs="Times New Roman"/>
        </w:rPr>
      </w:r>
    </w:p>
    <w:tbl>
      <w:tblPr>
        <w:tblStyle w:val="729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929"/>
        <w:gridCol w:w="2617"/>
        <w:gridCol w:w="2714"/>
        <w:gridCol w:w="2085"/>
      </w:tblGrid>
      <w:tr>
        <w:tblPrEx/>
        <w:trPr>
          <w:jc w:val="center"/>
          <w:tblHeader/>
        </w:trPr>
        <w:tc>
          <w:tcPr>
            <w:shd w:val="clear" w:color="auto" w:fill="f2f2f2"/>
            <w:tcMar>
              <w:left w:w="20" w:type="dxa"/>
              <w:top w:w="120" w:type="dxa"/>
              <w:right w:w="20" w:type="dxa"/>
              <w:bottom w:w="12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№ системы теплоснабжения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Наименования источников тепловой энергии в системе теплоснабжения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Теплоснабжающие (теплосетевые) организации в границах системы теплоснабжения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Вид деятельности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"Заполярный"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АО «МЭС»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W w:w="0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0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МУП «Тепловые сети»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ЭЦ-2 пгт. Никель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АО «МЭС»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Электрокотельная "К-15" нп. Раякоски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ПАО «ТГК-1»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W w:w="0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0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ГО</w:t>
            </w:r>
            <w:r>
              <w:rPr>
                <w:rFonts w:eastAsia="Times New Roman" w:cs="Times New Roman"/>
                <w:sz w:val="20"/>
              </w:rPr>
              <w:t xml:space="preserve">УП «Сети Никеля»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Электрокотельная "М-4" нп. Раякоски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ПАО «ТГК-1»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W w:w="0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0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ГО</w:t>
            </w:r>
            <w:r>
              <w:rPr>
                <w:rFonts w:eastAsia="Times New Roman" w:cs="Times New Roman"/>
                <w:sz w:val="20"/>
              </w:rPr>
              <w:t xml:space="preserve">УП «Сети Никеля»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51 нп. Корзуново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6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№2/44 пгт Печенга (в.г. №2)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7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(19 км) (в.г. №4)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(19 км) (в.г. №4)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№31/44 н.п. Луостари (в.г. №31)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13/55 пгт. Печенга, ш. Печенгское (в.г. №13)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13/73 пгт. Печенга, ул. Стадионная (в.г. №13)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42/138 нп. Спутник (в.г. №42)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4/152 ж/д ст. Печенга (в.г. №4)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3 нп. Лиинахамари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15/146 нп. Луостари, ул. Верхняя (в.г. №15)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16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5/149 нп. Луостари, ул. Нижняя (в.г. №5)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17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№15)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№9/49 пгт. Печенга (в.г. №9)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№25/52 пгт.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№25)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№18/65 пгт.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№18)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№13/66 пгт.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№13)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№69/6 н.п.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Вайда-Губа (в.г. №69)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№38/86 пгт.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№38)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№21/90 пгт.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№21)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26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№21)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27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№21)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№12/150 н.п. Спутник (в.г. №12)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№12)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№25)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№21/172 пгт. Печенга (в.г. №21)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№38/177 пгт. Печенга (в.г. №38)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№42)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производство / передача</w:t>
            </w:r>
            <w:r>
              <w:rPr>
                <w:rFonts w:cs="Times New Roman"/>
                <w:sz w:val="20"/>
              </w:rPr>
            </w:r>
          </w:p>
        </w:tc>
      </w:tr>
    </w:tbl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168" w:tooltip="file:///D:\Source\Ses\Docs\Оглавление%20том%202%20%20О.М..docx#bookmark138" w:anchor="bookmark138" w:history="1">
        <w:bookmarkStart w:id="371" w:name="_Toc30085174"/>
        <w:bookmarkStart w:id="372" w:name="_Toc32845497"/>
        <w:bookmarkStart w:id="373" w:name="_Toc204085791"/>
        <w:r>
          <w:t xml:space="preserve">Часть 2. РЕЕСТР ЕДИНЫХ ТЕПЛОСНАБЖАЮЩИХ ОРГАНИЗАЦИЙ, СОДЕРЖАЩИЙ</w:t>
        </w:r>
      </w:hyperlink>
      <w:r>
        <w:t xml:space="preserve"> </w:t>
      </w:r>
      <w:hyperlink r:id="rId169" w:tooltip="file:///D:\Source\Ses\Docs\Оглавление%20том%202%20%20О.М..docx#bookmark138" w:anchor="bookmark138" w:history="1">
        <w:r>
          <w:t xml:space="preserve">ПЕРЕЧЕНЬ СИСТЕМ ТЕПЛОСНАБЖЕНИЯ, ВХОДЯЩИХ В СОСТАВ ЕДИНОЙ</w:t>
        </w:r>
      </w:hyperlink>
      <w:r>
        <w:t xml:space="preserve"> </w:t>
      </w:r>
      <w:hyperlink r:id="rId170" w:tooltip="file:///D:\Source\Ses\Docs\Оглавление%20том%202%20%20О.М..docx#bookmark138" w:anchor="bookmark138" w:history="1">
        <w:r>
          <w:t xml:space="preserve">ТЕПЛОСНАБЖАЮЩЕЙ ОРГАНИЗАЦИИ</w:t>
        </w:r>
        <w:bookmarkEnd w:id="371"/>
        <w:bookmarkEnd w:id="372"/>
        <w:bookmarkEnd w:id="373"/>
      </w:hyperlink>
      <w:r/>
      <w:r/>
    </w:p>
    <w:p>
      <w:pPr>
        <w:pStyle w:val="728"/>
        <w:jc w:val="center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right="204" w:firstLine="709"/>
        <w:jc w:val="both"/>
        <w:spacing w:before="104" w:line="264" w:lineRule="auto"/>
        <w:widowControl w:val="off"/>
        <w:tabs>
          <w:tab w:val="left" w:pos="9637" w:leader="dot"/>
        </w:tabs>
        <w:rPr>
          <w:rFonts w:cs="Times New Roman"/>
        </w:rPr>
      </w:pPr>
      <w:r/>
      <w:bookmarkStart w:id="374" w:name="_Hlk152921853"/>
      <w:r>
        <w:rPr>
          <w:rFonts w:eastAsia="Times New Roman" w:cs="Times New Roman"/>
          <w:spacing w:val="-1"/>
          <w:szCs w:val="24"/>
          <w:lang w:eastAsia="ru-RU"/>
        </w:rPr>
        <w:t xml:space="preserve">Р</w:t>
      </w:r>
      <w:r>
        <w:rPr>
          <w:rFonts w:cs="Times New Roman"/>
        </w:rPr>
        <w:t xml:space="preserve">еестр единых теплоснабжающих организаций, содержащий перечень систем теплоснабжения, входящих в состав единой теплоснабжающей организации представлен в таблице ниже</w:t>
      </w:r>
      <w:bookmarkEnd w:id="374"/>
      <w:r>
        <w:rPr>
          <w:rFonts w:cs="Times New Roman"/>
        </w:rPr>
        <w:t xml:space="preserve">.</w:t>
      </w:r>
      <w:r>
        <w:rPr>
          <w:rFonts w:cs="Times New Roman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rPr>
          <w:rFonts w:cs="Times New Roman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jc w:val="center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</w:r>
      <w:r>
        <w:rPr>
          <w:rFonts w:eastAsia="Times New Roman" w:cs="Times New Roman"/>
          <w:sz w:val="22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15.2.1 - Утвержденные единые теплоснабжающие организации в системах теплоснабжения</w:t>
      </w:r>
      <w:r>
        <w:rPr>
          <w:rFonts w:cs="Times New Roman"/>
        </w:rPr>
      </w:r>
    </w:p>
    <w:tbl>
      <w:tblPr>
        <w:tblStyle w:val="729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623"/>
        <w:gridCol w:w="2201"/>
        <w:gridCol w:w="2283"/>
        <w:gridCol w:w="2244"/>
        <w:gridCol w:w="1731"/>
        <w:gridCol w:w="2281"/>
        <w:gridCol w:w="1914"/>
      </w:tblGrid>
      <w:tr>
        <w:tblPrEx/>
        <w:trPr>
          <w:jc w:val="center"/>
          <w:tblHeader/>
        </w:trPr>
        <w:tc>
          <w:tcPr>
            <w:shd w:val="clear" w:color="auto" w:fill="f2f2f2"/>
            <w:tcMar>
              <w:left w:w="20" w:type="dxa"/>
              <w:top w:w="120" w:type="dxa"/>
              <w:right w:w="20" w:type="dxa"/>
              <w:bottom w:w="12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№ системы теплоснабжения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Наименования источников тепловой энергии в системе теплоснабжения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Теплоснабжающие (теплосетевые) организации в границах системы теплоснабжения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Объекты систем теплоснабжения в обслуживании теплоснабжающей (теплосетевой) организации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№ зоны деятельности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Утвержденная ЕТО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Основание для присвоения статуса ЕТО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"Заполярный"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АО «МЭС»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АО «МЭС»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/>
            <w:bookmarkStart w:id="375" w:name="_Hlk204068036"/>
            <w:r>
              <w:rPr>
                <w:rFonts w:eastAsia="Times New Roman" w:cs="Times New Roman"/>
                <w:sz w:val="20"/>
              </w:rPr>
              <w:t xml:space="preserve">Постановление № 160 от 05.07.2019</w:t>
            </w:r>
            <w:bookmarkEnd w:id="375"/>
            <w:r/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W w:w="1623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20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МУП «Тепловые сети»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тепловые сети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73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28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914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ЭЦ-2 пгт. Никель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АО «МЭС»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АО «МЭС»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/>
            <w:bookmarkStart w:id="376" w:name="_Hlk204068134"/>
            <w:r>
              <w:rPr>
                <w:rFonts w:eastAsia="Times New Roman" w:cs="Times New Roman"/>
                <w:sz w:val="20"/>
              </w:rPr>
              <w:t xml:space="preserve">Постановление</w:t>
            </w:r>
            <w:r>
              <w:rPr>
                <w:rFonts w:eastAsia="Times New Roman" w:cs="Times New Roman"/>
                <w:sz w:val="20"/>
              </w:rPr>
              <w:t xml:space="preserve"> № 828 от 19.05.2025</w:t>
            </w:r>
            <w:bookmarkEnd w:id="376"/>
            <w:r/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Электрокотельная "К-15" нп. Раякоски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ПАО «ТГК-1»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ПАО «ТГК-1»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/>
            <w:bookmarkStart w:id="377" w:name="_Hlk204068240"/>
            <w:r>
              <w:rPr>
                <w:rFonts w:eastAsia="Times New Roman" w:cs="Times New Roman"/>
                <w:sz w:val="20"/>
              </w:rPr>
              <w:t xml:space="preserve">Постановление № 829 19.05.2025</w:t>
            </w:r>
            <w:bookmarkEnd w:id="377"/>
            <w:r/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W w:w="1623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20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ГО</w:t>
            </w:r>
            <w:r>
              <w:rPr>
                <w:rFonts w:eastAsia="Times New Roman" w:cs="Times New Roman"/>
                <w:sz w:val="20"/>
              </w:rPr>
              <w:t xml:space="preserve">УП «Сети Никеля»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73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28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91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Электрокотельная "М-4" нп. Раякоски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ПАО «ТГК-1»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ПАО «ТГК-1»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829 19.05.2025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W w:w="1623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20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ГО</w:t>
            </w:r>
            <w:r>
              <w:rPr>
                <w:rFonts w:eastAsia="Times New Roman" w:cs="Times New Roman"/>
                <w:sz w:val="20"/>
              </w:rPr>
              <w:t xml:space="preserve">УП «Сети Никеля»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73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228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  <w:tc>
          <w:tcPr>
            <w:tcW w:w="1914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51 нп. Корзуново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2011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6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№2/44 пгт Печенга (в.г. №2)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2011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7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(19 км) (в.г. №4)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2011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(19 км) (в.г. №4)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2011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№31/44 н.п. Луостари (в.г. №31)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«Теплонорд»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/>
            <w:bookmarkStart w:id="378" w:name="_Hlk204068485"/>
            <w:r>
              <w:rPr>
                <w:rFonts w:eastAsia="Times New Roman" w:cs="Times New Roman"/>
                <w:sz w:val="20"/>
              </w:rPr>
              <w:t xml:space="preserve">Постановление </w:t>
            </w:r>
            <w:bookmarkStart w:id="379" w:name="_Hlk204069051"/>
            <w:r>
              <w:rPr>
                <w:rFonts w:eastAsia="Times New Roman" w:cs="Times New Roman"/>
                <w:sz w:val="20"/>
              </w:rPr>
              <w:t xml:space="preserve">№ 2011 12.12.2024</w:t>
            </w:r>
            <w:bookmarkEnd w:id="378"/>
            <w:r/>
            <w:bookmarkEnd w:id="379"/>
            <w:r/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13/55 пгт. Печенга, ш. Печенгское (в.г. №13)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2010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13/73 пгт. Печенга, ул. Стадионная (в.г. №13)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2010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42/138 нп. Спутник (в.г. №42)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2010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4/152 ж/д ст. Печенга (в.г. №4)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2010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3 нп. Лиинахамари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2010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15/146 нп. Луостари, ул. Верхняя (в.г. №15)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2010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16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 5/149 нп. Луостари, ул. Нижняя (в.г. №5)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2010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17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№15)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2010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ООО «ПромВоенСтрой»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2010 12.12.2024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19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№9/49 пгт. Печенга (в.г. №9)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/>
            <w:bookmarkStart w:id="380" w:name="_Hlk204069143"/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bookmarkEnd w:id="380"/>
            <w:r/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№25/52 пгт.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№25)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№18/65 пгт.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№18)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№13/66 пгт.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№13)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№69/6 н.п.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Вайда-Губа (в.г. №69)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24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№38/86 пгт.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№38)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№21/90 пгт.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№21)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26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№21)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27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№21)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28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№12/150 н.п. Спутник (в.г. №12)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29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№12)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30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№25)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31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№21/172 пгт. Печенга (в.г. №21)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32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№38/177 пгт. Печенга (в.г. №38)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33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0"/>
              </w:rPr>
              <w:t xml:space="preserve"> </w:t>
            </w:r>
            <w:r>
              <w:rPr>
                <w:rFonts w:eastAsia="Times New Roman" w:cs="Times New Roman"/>
                <w:sz w:val="20"/>
              </w:rPr>
              <w:t xml:space="preserve">(в.г. №42)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источник, тепловые сети, абоненты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5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2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ФГБУ «ЦЖКУ» МО РФ</w:t>
            </w:r>
            <w:r>
              <w:rPr>
                <w:rFonts w:cs="Times New Roman"/>
                <w:sz w:val="20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Постановление № 195 16.11.2020</w:t>
            </w:r>
            <w:r>
              <w:rPr>
                <w:rFonts w:cs="Times New Roman"/>
                <w:sz w:val="20"/>
              </w:rPr>
            </w:r>
          </w:p>
        </w:tc>
      </w:tr>
    </w:tbl>
    <w:p>
      <w:pPr>
        <w:rPr>
          <w:rFonts w:cs="Times New Roman"/>
        </w:rPr>
        <w:sectPr>
          <w:footnotePr/>
          <w:endnotePr/>
          <w:type w:val="nextPage"/>
          <w:pgSz w:w="16838" w:h="11906" w:orient="landscape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71" w:tooltip="file:///D:\Source\Ses\Docs\Оглавление%20том%202%20%20О.М..docx#bookmark139" w:anchor="bookmark139" w:history="1">
        <w:bookmarkStart w:id="381" w:name="_Toc30085175"/>
        <w:bookmarkStart w:id="382" w:name="_Toc32845498"/>
        <w:bookmarkStart w:id="383" w:name="_Toc204085792"/>
        <w:r>
          <w:t xml:space="preserve">Часть 3. </w:t>
        </w:r>
      </w:hyperlink>
      <w:r/>
      <w:bookmarkEnd w:id="381"/>
      <w:r/>
      <w:bookmarkEnd w:id="382"/>
      <w:r>
        <w:t xml:space="preserve">ОСНОВАНИЯ, В ТОМ ЧИСЛЕ КРИТЕРИИ, В СООТВЕТСТВИИ С КОТОРЫМИ ТЕПЛОСНАБЖАЮЩЕЙ ОРГАНИЗАЦИИ ПРИСВОЕН СТАТУС ЕДИНОЙ ТЕПЛОСНАБЖАЮЩЕЙ ОРГАНИЗАЦИИ</w:t>
      </w:r>
      <w:bookmarkEnd w:id="383"/>
      <w:r/>
      <w:r/>
    </w:p>
    <w:p>
      <w:pPr>
        <w:ind w:left="1" w:firstLine="56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 случае если в отношении одной зоны деятельн</w:t>
      </w:r>
      <w:r>
        <w:rPr>
          <w:rFonts w:eastAsia="Times New Roman" w:cs="Times New Roman"/>
        </w:rPr>
        <w:t xml:space="preserve">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</w:t>
      </w:r>
      <w:r>
        <w:rPr>
          <w:rFonts w:eastAsia="Times New Roman" w:cs="Times New Roman"/>
        </w:rPr>
        <w:t xml:space="preserve">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</w:t>
      </w:r>
      <w:r>
        <w:rPr>
          <w:rFonts w:eastAsia="Times New Roman" w:cs="Times New Roman"/>
        </w:rPr>
        <w:t xml:space="preserve">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Согласно пункту 7 ПП РФ № 808 от 08.08.2012 г. критериями определения единой теплоснабжающей организации являются: 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ascii="Symbol" w:hAnsi="Symbol" w:eastAsia="Symbol" w:cs="Symbol"/>
        </w:rPr>
        <w:t xml:space="preserve">-</w:t>
      </w:r>
      <w:r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ascii="Symbol" w:hAnsi="Symbol" w:eastAsia="Symbol" w:cs="Symbol"/>
        </w:rPr>
        <w:t xml:space="preserve">-</w:t>
      </w:r>
      <w:r>
        <w:rPr>
          <w:rFonts w:eastAsia="Times New Roman" w:cs="Times New Roman"/>
        </w:rPr>
        <w:t xml:space="preserve"> размер собственного капитала; 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ascii="Symbol" w:hAnsi="Symbol" w:eastAsia="Symbol" w:cs="Symbol"/>
        </w:rPr>
        <w:t xml:space="preserve">-</w:t>
      </w:r>
      <w:r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</w:t>
      </w:r>
      <w:r>
        <w:rPr>
          <w:rFonts w:eastAsia="Times New Roman" w:cs="Times New Roman"/>
        </w:rPr>
        <w:t xml:space="preserve">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 случае ес</w:t>
      </w:r>
      <w:r>
        <w:rPr>
          <w:rFonts w:eastAsia="Times New Roman" w:cs="Times New Roman"/>
        </w:rPr>
        <w:t xml:space="preserve">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</w:t>
      </w:r>
      <w:r>
        <w:rPr>
          <w:rFonts w:eastAsia="Times New Roman" w:cs="Times New Roman"/>
        </w:rPr>
        <w:t xml:space="preserve">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</w:t>
      </w:r>
      <w:r>
        <w:rPr>
          <w:rFonts w:eastAsia="Times New Roman" w:cs="Times New Roman"/>
        </w:rPr>
        <w:t xml:space="preserve">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Единая теплоснабжающая организация при осуществлении своей деятельности обязана: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заключать и исполнять договоры теплоснабжения с любыми обратившимися к ней потребителями тепловой энергии, </w:t>
      </w:r>
      <w:r>
        <w:rPr>
          <w:rFonts w:eastAsia="Times New Roman" w:cs="Times New Roman"/>
        </w:rPr>
        <w:t xml:space="preserve">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  <w:r>
        <w:rPr>
          <w:rFonts w:eastAsia="Times New Roman" w:cs="Times New Roman"/>
        </w:rPr>
      </w:r>
    </w:p>
    <w:p>
      <w:pPr>
        <w:ind w:firstLine="709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 xml:space="preserve">Сравнение теплоснабжающих организаций по описанным критериям представлено в таблице ниже.</w:t>
      </w:r>
      <w:r>
        <w:rPr>
          <w:rFonts w:eastAsia="Times New Roman" w:cs="Times New Roman"/>
          <w:color w:val="000000" w:themeColor="text1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rPr>
          <w:rFonts w:cs="Times New Roman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jc w:val="center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15.3.1 - Сравнительный анализ критериев определения ЕТО в системах теплоснабжения</w:t>
      </w:r>
      <w:r>
        <w:rPr>
          <w:rFonts w:cs="Times New Roman"/>
        </w:rPr>
      </w:r>
    </w:p>
    <w:tbl>
      <w:tblPr>
        <w:tblStyle w:val="729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486"/>
        <w:gridCol w:w="2017"/>
        <w:gridCol w:w="1702"/>
        <w:gridCol w:w="2093"/>
        <w:gridCol w:w="2057"/>
        <w:gridCol w:w="2057"/>
        <w:gridCol w:w="1888"/>
        <w:gridCol w:w="1288"/>
        <w:gridCol w:w="1549"/>
        <w:gridCol w:w="1587"/>
        <w:gridCol w:w="2091"/>
        <w:gridCol w:w="1435"/>
      </w:tblGrid>
      <w:tr>
        <w:tblPrEx/>
        <w:trPr>
          <w:jc w:val="center"/>
          <w:tblHeader/>
        </w:trPr>
        <w:tc>
          <w:tcPr>
            <w:shd w:val="clear" w:color="auto" w:fill="f2f2f2"/>
            <w:tcMar>
              <w:left w:w="20" w:type="dxa"/>
              <w:top w:w="120" w:type="dxa"/>
              <w:right w:w="20" w:type="dxa"/>
              <w:bottom w:w="12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системы теплоснабжения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Наименования источников тепловой энергии в системе теплоснабжения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Располагаемая тепловая мощность источника, Гкал/ч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Теплоснабжающие (теплосетевые) организации в границах системы теплоснабжения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Размер собственного капитала теплоснабжающей (теплосетевой) организации, тыс. руб.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Объекты систем теплоснабжения в обслуживании теплоснабжающей (теплосетевой) организации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Вид имущественного права (источник/ тепловые сети)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Емкость тепловых сетей, м3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Информация о подаче заявки на присвоение статуса ЕТО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зоны деятельности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Утвержденная ЕТО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Основание для присвоения статуса ЕТО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"Заполярный"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223,9500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АО «МЭС»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12,5600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АО «МЭС»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148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2017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МУП «Тепловые сети»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2468,1874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tcW w:w="1587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209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1435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ЭЦ-2 пгт. Никель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176,6300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АО «МЭС»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1660,1863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АО «МЭС»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Электрокотельная "К-15" нп. Раякоски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0,6872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ПАО «ТГК-1»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ПАО «ТГК-1»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148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2017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ГО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УП «Сети Никеля»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7,5864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tcW w:w="1587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209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1435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Электрокотельная "М-4" нп. Раякоски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0,2577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ПАО «ТГК-1»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ПАО «ТГК-1»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tcW w:w="148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2017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ГО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УП «Сети Никеля»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1,7982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tcW w:w="1587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2091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1435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51 нп. Корзуново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2,5640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1,6334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№2/44 пгт Печенга (в.г. №2)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1,2000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7,5373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(19 км)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2,4600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(19 км)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0,4023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№31/44 н.п. Луостари (в.г. №31)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3,1590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13/55 пгт. Печенга, ш. Печенгское 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5,9740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10,1736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13/73 пгт. Печенга, ул. Стадионная 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5,1600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17,8964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42/138 нп. Спутник (в.г. №42)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12,8900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72,0678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4/152 ж/д ст. Печенга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4,3000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40,6360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3 нп. Лиинахамари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6,0380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24,4498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15/146 нп. Луостари, ул. Верхняя (в.г. №15)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6,7700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40,4029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 5/149 нп. Луостари, ул. Нижняя (в.г. №5)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10,4060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22,8000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7,2180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24,5809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7,3190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13,0671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№9/49 пгт. Печенга (в.г. №9)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2,7000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16,6631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№25/52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0,4300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№18/65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2,8800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5,5387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№13/66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0,7913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№69/6 н.п.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Вайда-Губа (в.г. №69)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1,4687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№38/86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№38)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0,4000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№21/90 пгт.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1,7100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12,2220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13,1041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0,5200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0,0952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№12/150 н.п. Спутник (в.г. №12)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1,6810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2,2704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№12)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0,1380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№25)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1,7400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5,6101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№21/172 пгт. Печенга 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0,2120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0,2970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№38/177 пгт. Печенга (в.г. №38)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1,3250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3,5514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1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33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(в.г. №42)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0,1030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н/д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источник, тепловые сети, абоненты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0,00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не подавалась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5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14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п. 6-11 ПП РФ от 08.08.2012 N 808</w:t>
            </w:r>
            <w:r>
              <w:rPr>
                <w:rFonts w:cs="Times New Roman"/>
              </w:rPr>
            </w:r>
          </w:p>
        </w:tc>
      </w:tr>
    </w:tbl>
    <w:p>
      <w:pPr>
        <w:rPr>
          <w:rFonts w:cs="Times New Roman"/>
        </w:rPr>
        <w:sectPr>
          <w:footnotePr/>
          <w:endnotePr/>
          <w:type w:val="nextPage"/>
          <w:pgSz w:w="23811" w:h="16838" w:orient="landscape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hyperlink r:id="rId172" w:tooltip="file:///D:\Source\Ses\Docs\Оглавление%20том%202%20%20О.М..docx#bookmark140" w:anchor="bookmark140" w:history="1">
        <w:bookmarkStart w:id="384" w:name="_Toc30085176"/>
        <w:bookmarkStart w:id="385" w:name="_Toc32845499"/>
        <w:bookmarkStart w:id="386" w:name="_Toc204085793"/>
        <w:r>
          <w:t xml:space="preserve">Часть 4. ЗАЯВКИ ТЕПЛОСНАБЖАЮЩИХ ОРГАНИЗАЦИЙ, ПОДАННЫЕ В РАМКАХ</w:t>
        </w:r>
      </w:hyperlink>
      <w:r>
        <w:t xml:space="preserve"> </w:t>
      </w:r>
      <w:hyperlink r:id="rId173" w:tooltip="file:///D:\Source\Ses\Docs\Оглавление%20том%202%20%20О.М..docx#bookmark140" w:anchor="bookmark140" w:history="1">
        <w:r>
          <w:t xml:space="preserve">РАЗРАБОТКИ ПРОЕКТА СХЕМЫ ТЕПЛОСНАБЖЕНИЯ (ПРИ ИХ НАЛИЧИИ), НА</w:t>
        </w:r>
      </w:hyperlink>
      <w:r>
        <w:t xml:space="preserve"> </w:t>
      </w:r>
      <w:hyperlink r:id="rId174" w:tooltip="file:///D:\Source\Ses\Docs\Оглавление%20том%202%20%20О.М..docx#bookmark140" w:anchor="bookmark140" w:history="1">
        <w:r>
          <w:t xml:space="preserve">ПРИСВОЕНИЕ СТАТУСА ЕДИНОЙ ТЕПЛОСНАБЖАЮЩЕЙ ОРГАНИЗАЦИИ</w:t>
        </w:r>
        <w:bookmarkEnd w:id="384"/>
        <w:bookmarkEnd w:id="385"/>
        <w:bookmarkEnd w:id="386"/>
      </w:hyperlink>
      <w:r/>
      <w:r/>
    </w:p>
    <w:p>
      <w:pPr>
        <w:ind w:left="1" w:firstLine="566"/>
        <w:rPr>
          <w:rFonts w:eastAsia="Times New Roman" w:cs="Times New Roman"/>
        </w:rPr>
      </w:pPr>
      <w:r>
        <w:rPr>
          <w:rFonts w:eastAsia="Times New Roman" w:cs="Times New Roman"/>
        </w:rPr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</w:rPr>
      </w:pPr>
      <w:r/>
      <w:bookmarkStart w:id="387" w:name="_Hlk204070055"/>
      <w:r>
        <w:rPr>
          <w:rFonts w:eastAsia="Times New Roman" w:cs="Times New Roman"/>
        </w:rPr>
        <w:t xml:space="preserve">В </w:t>
      </w:r>
      <w:r>
        <w:rPr>
          <w:rFonts w:eastAsia="Times New Roman" w:cs="Times New Roman"/>
        </w:rPr>
        <w:t xml:space="preserve">2025 году АО «МЭС» подали заявку на присвоение статуса единой теплоснабжающей организации в границах зон деятельности пгт. Никель.</w:t>
      </w:r>
      <w:r>
        <w:rPr>
          <w:rFonts w:eastAsia="Times New Roman"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eastAsia="Times New Roman" w:cs="Times New Roman"/>
        </w:rPr>
        <w:t xml:space="preserve">В 2025 году ПАО «ТГК-1» подали заявку на присвоение статуса единой теплоснабжающей организации в границах зон деятельности н.п. Роякоски.</w:t>
      </w:r>
      <w:bookmarkEnd w:id="387"/>
      <w:r>
        <w:rPr>
          <w:rFonts w:cs="Times New Roman"/>
        </w:rPr>
      </w:r>
    </w:p>
    <w:p>
      <w:pPr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175" w:tooltip="file:///D:\Source\Ses\Docs\Оглавление%20том%202%20%20О.М..docx#bookmark141" w:anchor="bookmark141" w:history="1">
        <w:bookmarkStart w:id="388" w:name="_Toc30085177"/>
        <w:bookmarkStart w:id="389" w:name="_Toc32845500"/>
        <w:bookmarkStart w:id="390" w:name="_Toc204085794"/>
        <w:r>
          <w:t xml:space="preserve">Часть 5. ОПИСАНИЕ ГРАНИЦ ЗОН ДЕЯТЕЛЬНОСТИ ЕДИНОЙ ТЕПЛОСНАБЖАЮЩЕЙ</w:t>
        </w:r>
      </w:hyperlink>
      <w:r>
        <w:t xml:space="preserve"> </w:t>
      </w:r>
      <w:hyperlink r:id="rId176" w:tooltip="file:///D:\Source\Ses\Docs\Оглавление%20том%202%20%20О.М..docx#bookmark141" w:anchor="bookmark141" w:history="1">
        <w:r>
          <w:t xml:space="preserve">ОРГАНИЗАЦИИ (ОРГАНИЗАЦИЙ)</w:t>
        </w:r>
        <w:bookmarkEnd w:id="388"/>
        <w:bookmarkEnd w:id="389"/>
        <w:bookmarkEnd w:id="390"/>
      </w:hyperlink>
      <w:r>
        <w:t xml:space="preserve"> </w:t>
      </w:r>
      <w:r/>
    </w:p>
    <w:p>
      <w:pPr>
        <w:ind w:left="1" w:firstLine="566"/>
        <w:rPr>
          <w:rFonts w:eastAsia="Times New Roman" w:cs="Times New Roman"/>
        </w:rPr>
      </w:pPr>
      <w:r>
        <w:rPr>
          <w:rFonts w:eastAsia="Times New Roman" w:cs="Times New Roman"/>
        </w:rPr>
      </w:r>
      <w:r>
        <w:rPr>
          <w:rFonts w:eastAsia="Times New Roman" w:cs="Times New Roman"/>
        </w:rPr>
      </w:r>
    </w:p>
    <w:p>
      <w:pPr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Границы зоны (зон) деятельности единой теплоснабжающей организации (организаций) определяются границами системы теплоснабжения. З</w:t>
      </w:r>
      <w:r>
        <w:rPr>
          <w:rFonts w:eastAsia="Times New Roman" w:cs="Times New Roman"/>
          <w:bCs/>
        </w:rPr>
        <w:t xml:space="preserve">оной действия системы теплоснабжения</w:t>
      </w:r>
      <w:r>
        <w:rPr>
          <w:rFonts w:eastAsia="Times New Roman" w:cs="Times New Roman"/>
        </w:rPr>
        <w:t xml:space="preserve"> является территория муниципального образования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теплоснабжения. </w:t>
      </w:r>
      <w:r>
        <w:rPr>
          <w:rFonts w:cs="Times New Roman"/>
          <w:bCs/>
          <w:lang w:eastAsia="ru-RU"/>
        </w:rPr>
        <w:t xml:space="preserve">Зоной действия источника тепловой энергии </w:t>
      </w:r>
      <w:r>
        <w:rPr>
          <w:rFonts w:cs="Times New Roman"/>
          <w:lang w:eastAsia="ru-RU"/>
        </w:rPr>
        <w:t xml:space="preserve">является территория м</w:t>
      </w:r>
      <w:r>
        <w:rPr>
          <w:rFonts w:cs="Times New Roman"/>
          <w:lang w:eastAsia="ru-RU"/>
        </w:rPr>
        <w:t xml:space="preserve">униципального образования или ее часть, границы которой устанавливаются закрытыми секционирующими задвижками тепловой сети системы теплоснабжения. Описание зоны действия источников тепловой энергии представлено в главе 1, часть 4 обосновывающих материалов.</w:t>
      </w:r>
      <w:r>
        <w:rPr>
          <w:rFonts w:eastAsia="Times New Roman" w:cs="Times New Roman"/>
        </w:rPr>
      </w:r>
    </w:p>
    <w:p>
      <w:pPr>
        <w:ind w:left="1" w:firstLine="708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Границы зон деятельности единых теплоснабжающих организаций представлены в таблице ниже.</w:t>
      </w:r>
      <w:r>
        <w:rPr>
          <w:rFonts w:eastAsia="Times New Roman" w:cs="Times New Roman"/>
          <w:szCs w:val="24"/>
          <w:lang w:eastAsia="ru-RU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15.5.1 - Границы зон деятельности ЕТО</w:t>
      </w:r>
      <w:r>
        <w:rPr>
          <w:rFonts w:cs="Times New Roman"/>
        </w:rPr>
      </w:r>
    </w:p>
    <w:tbl>
      <w:tblPr>
        <w:tblStyle w:val="729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962"/>
        <w:gridCol w:w="2619"/>
        <w:gridCol w:w="2715"/>
        <w:gridCol w:w="2049"/>
      </w:tblGrid>
      <w:tr>
        <w:tblPrEx/>
        <w:trPr>
          <w:jc w:val="center"/>
          <w:tblHeader/>
        </w:trPr>
        <w:tc>
          <w:tcPr>
            <w:shd w:val="clear" w:color="auto" w:fill="f2f2f2"/>
            <w:tcMar>
              <w:left w:w="20" w:type="dxa"/>
              <w:top w:w="120" w:type="dxa"/>
              <w:right w:w="20" w:type="dxa"/>
              <w:bottom w:w="12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№ системы теплоснабжения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Наименования источников тепловой энергии в системе теплоснабжения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Утвержденная ЕТО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2f2f2"/>
            <w:tcMar>
              <w:left w:w="200" w:type="dxa"/>
              <w:top w:w="120" w:type="dxa"/>
              <w:right w:w="200" w:type="dxa"/>
              <w:bottom w:w="12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N зоны деятельности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"Заполярный"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АО «МЭС»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ЭЦ-2 пгт. Никель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АО «МЭС»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Электрокотельная "К-15" нп. Раякоски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ПАО «ТГК-1»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Электрокотельная "М-4" нп. Раякоски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ПАО «ТГК-1»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51 нп. Корзуново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№2/44 пгт Печенга (в.г. №2)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№4/115 ж/д ст.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(19 км)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№4/179 ж/д ст.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(19 км)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№31/44 н.п. Луостари (в.г. №31)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«Теплонорд»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4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13/55 пгт. Печенга, ш. Печенгское 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13/73 пгт. Печенга, ул. Стадионная 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42/138 нп. Спутник (в.г. №42)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4/152 ж/д ст. Печенга (в.г. №4)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3 нп. Лиинахамари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15/146 нп. Луостари, ул. Верхняя (в.г. №15)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 5/149 нп. Луостари, ул. Нижняя (в.г. №5)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№15/176 н.п. Луостари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№5/106 н.п. Луостари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19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№9/49 пгт. Печенга (в.г. №9)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№25/52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№18/65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№13/66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№13)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№69/6 н.п.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Вайда-Губа (в.г. №69)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24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№38/86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№38)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25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№21/90 пгт.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26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№21/110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27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№21/149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28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№12/150 н.п. Спутник (в.г. №12)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29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№12/151 н.п. Спутник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№12)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30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№25/46 пгт. Печенга (в.г.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№25)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31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№21/172 пгт. Печенга (в.г. №21)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32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№38/177 пгт. Печенга (в.г. №38)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/>
            <w:tcMar>
              <w:left w:w="20" w:type="dxa"/>
              <w:top w:w="40" w:type="dxa"/>
              <w:right w:w="2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33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Котельная №42/188 пгт. Печенга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(в.г. №42)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ffffff"/>
            <w:tcMar>
              <w:left w:w="200" w:type="dxa"/>
              <w:top w:w="40" w:type="dxa"/>
              <w:right w:w="200" w:type="dxa"/>
              <w:bottom w:w="4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sz w:val="22"/>
              </w:rPr>
              <w:t xml:space="preserve">5</w:t>
            </w:r>
            <w:r>
              <w:rPr>
                <w:rFonts w:cs="Times New Roman"/>
              </w:rPr>
            </w:r>
          </w:p>
        </w:tc>
      </w:tr>
    </w:tbl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bookmarkStart w:id="391" w:name="_Toc204085795"/>
      <w:r>
        <w:t xml:space="preserve">Часть 6. ОПИСАНИЕ ИЗМЕНЕНИЙ В ЗОНАХ ДЕЯТЕЛЬНОСТИ ЕДИНЫХ ТЕПЛОСНАБЖАЮЩИХ ОРГАНИ</w:t>
      </w:r>
      <w:r>
        <w:t xml:space="preserve">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  <w:bookmarkEnd w:id="391"/>
      <w:r/>
      <w:r/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ind w:firstLine="709"/>
        <w:jc w:val="both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 xml:space="preserve">За период, предшествующий актуализации схемы теплоснабжения, изменений в границах систем теплоснабжения и утвержденных зон деятельности ЕТО не произошло.</w:t>
      </w:r>
      <w:r>
        <w:rPr>
          <w:rFonts w:eastAsia="Calibri" w:cs="Times New Roman"/>
          <w:szCs w:val="24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rPr>
          <w:rFonts w:cs="Times New Roman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17"/>
        <w:ind w:left="0" w:firstLine="0"/>
      </w:pPr>
      <w:r/>
      <w:bookmarkStart w:id="392" w:name="_Hlk112920051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"file:///D:\\Source\\Ses\\Docs\\Оглавление%20том%202%20%20О.М..docx" \l "bookmark142" </w:instrText>
      </w:r>
      <w:r>
        <w:rPr>
          <w:sz w:val="28"/>
          <w:szCs w:val="28"/>
        </w:rPr>
        <w:fldChar w:fldCharType="separate"/>
      </w:r>
      <w:bookmarkStart w:id="393" w:name="_Toc204085796"/>
      <w:r/>
      <w:bookmarkStart w:id="394" w:name="_Toc45625289"/>
      <w:r/>
      <w:bookmarkStart w:id="395" w:name="_Toc112932044"/>
      <w:r>
        <w:rPr>
          <w:sz w:val="28"/>
          <w:szCs w:val="28"/>
        </w:rPr>
        <w:t xml:space="preserve">ГЛАВА 16. </w:t>
      </w:r>
      <w:r>
        <w:rPr>
          <w:sz w:val="28"/>
        </w:rPr>
        <w:t xml:space="preserve">РЕЕСТР МЕРОПРИЯТИЙ СХЕМЫ ТЕПЛОСНАБЖЕНИЯ</w:t>
      </w:r>
      <w:bookmarkEnd w:id="393"/>
      <w:r/>
      <w:bookmarkEnd w:id="394"/>
      <w:r/>
      <w:bookmarkEnd w:id="395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end"/>
      </w:r>
      <w:r/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177" w:tooltip="file:///D:\Source\Ses\Docs\Оглавление%20том%202%20%20О.М..docx#bookmark143" w:anchor="bookmark143" w:history="1">
        <w:bookmarkStart w:id="396" w:name="_Toc112932045"/>
        <w:bookmarkStart w:id="397" w:name="_Toc204085797"/>
        <w:r>
          <w:t xml:space="preserve">Часть 1. </w:t>
        </w:r>
      </w:hyperlink>
      <w:r>
        <w:t xml:space="preserve">ПЕРЕЧЕНЬ МЕРОПРИЯТИЙ ПО СТРОИТЕЛЬСТВУ, РЕКОНСТРУКЦИИ, ТЕХНИЧЕСКОМУ ПЕРЕВООРУЖЕНИЮ И (ИЛИ) МОДЕРНИЗАЦИИ ИСТОЧНИКОВ ТЕПЛОВОЙ ЭНЕРГИИ</w:t>
      </w:r>
      <w:bookmarkEnd w:id="396"/>
      <w:r/>
      <w:bookmarkEnd w:id="397"/>
      <w:r/>
      <w:r/>
    </w:p>
    <w:p>
      <w:pPr>
        <w:ind w:right="-1" w:firstLine="567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</w:r>
      <w:r>
        <w:rPr>
          <w:rFonts w:eastAsia="Times New Roman" w:cs="Times New Roman"/>
          <w:spacing w:val="-3"/>
        </w:rPr>
      </w:r>
    </w:p>
    <w:p>
      <w:pPr>
        <w:pStyle w:val="728"/>
        <w:ind w:firstLine="709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В таблице 16.1.1 приведен перечень мероприятий по строительству, реконструкции, техническому перевооружению и (или) модернизации источников тепловой энергии. </w:t>
      </w:r>
      <w:bookmarkEnd w:id="392"/>
      <w:r>
        <w:rPr>
          <w:rFonts w:eastAsia="Times New Roman" w:cs="Times New Roman"/>
          <w:spacing w:val="-3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16.1.1 - Перечень мероприятий по строительству, реконструкции, техническому перевооружению и (или) модернизации источников тепловой энергии</w:t>
      </w:r>
      <w:r>
        <w:rPr>
          <w:rFonts w:cs="Times New Roman"/>
        </w:rPr>
      </w:r>
    </w:p>
    <w:tbl>
      <w:tblPr>
        <w:tblW w:w="95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5651"/>
        <w:gridCol w:w="1644"/>
        <w:gridCol w:w="7"/>
        <w:gridCol w:w="1793"/>
        <w:gridCol w:w="7"/>
      </w:tblGrid>
      <w:tr>
        <w:tblPrEx/>
        <w:trPr>
          <w:gridAfter w:val="1"/>
          <w:trHeight w:val="458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№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Наименование мероприятия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Источник финансирования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Стоимость работ, тыс. руб.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9542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Реконструкция, техническое перевооружение и (или) модернизацию источников тепловой энергии</w:t>
            </w:r>
            <w:r>
              <w:rPr>
                <w:rFonts w:ascii="Calibri" w:hAnsi="Calibri" w:cs="Calibri"/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5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АО «МЭС»</w:t>
            </w:r>
            <w:r>
              <w:rPr>
                <w:rFonts w:cs="Times New Roman"/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ind w:firstLine="22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"Заполярный"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bottom"/>
            <w:textDirection w:val="lrTb"/>
            <w:noWrap/>
          </w:tcPr>
          <w:p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</w:r>
            <w:r>
              <w:rPr>
                <w:rFonts w:ascii="Calibri" w:hAnsi="Calibri" w:cs="Calibri"/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rFonts w:cs="Times New Roman"/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г. Заполярный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ind w:firstLine="22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ЭЦ-2 пгт. Никель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Замена аккумуляторного бака РВС-1000 ст. № 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ИП (амортизация, прибыль направленная на инвестиции, иные собственные средства)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29286,0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Установка автоматизированной запорной арматуры с электроприводом на водогрейных котлах ПТВМ-50 ст. № 7 и 8 (ДУ 400)</w:t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1281,3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3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Замена пароводяных подогревателей ППРУ-630</w:t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4807,0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Достижение плановых значений показателей надежности и энергетической эффективности путем замены поверхностей нагрева водогрейного котла ПТВМ-50 ст. № 8</w:t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40687,5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Достижение плановых значений показателей надежности и энергетической эффективности путем замены поверхностей нагрева водогрейного котла КВГМ-50 ст. № 9</w:t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31477,7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6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Мероприятия по приведению состояния кровли здания котельной п.г.т. Никель в соответствие требованиям промышленной безопасности с применением энергосберегающих технологий</w:t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66547,6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Мероприятия по приведению состояния фасада здания котельной п.г.т. Никель в соответствие требованиям промышленной безопасности с применением энергосберегающих технологий</w:t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60021,1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8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ЭЦ-2 п.г.т. Никель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54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ПАО «ТГК-1»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ind w:firstLine="22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Электрокотельная "К-15" нп. Раякоски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ind w:firstLine="22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Электрокотельная "М-4" нп. Раякоски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54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ООО «Теплонорд»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ind w:firstLine="22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№ 51 нп. Корзуново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Установка прибора учета отпуска тепловой энергии и теплоносителя в сеть марки "Взлет" на котельной №51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304,1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Установка ВПУ теплоносителя марки "Комплексон" на котельной №51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404,9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3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ind w:firstLine="22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№2/44 пгт Печенга (в.г. №2)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ind w:firstLine="22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№4/115 ж/д ст. Печенга (19 км) (в.г. №4)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ind w:firstLine="22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№4/179 ж/д ст. Печенга (19 км) (в.г. №4)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ind w:firstLine="22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№31/44 н.п. Луостари (в.г. №31)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54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ООО «ПромВоенСтрой»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№ 13/55 пгт. Печенга, ш. Печенгское (в.г. №13)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Проектирование с прохождением экспертизы и реконструкция котельной № 13/55 п.г.т. Печенга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Средства концессионера, капитальный грант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21388,9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Установка комплекса химводоподготовки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двух котлов 1,25 Мвт.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1.3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насосов сетевого контура центрального отопления - 2 шт., замена насосов сетевого контура горячего водоснабжения – 2 шт.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1.4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Установка ДГУ ЭД100-Т400-2РН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1.5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системы наружного освещения котельной;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системы освещения котельных залов котельной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№ 13/73 пгт. Печенга, ул. Стадионная (в.г. №13)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Проектирование с прохождением экспертизы и реконструкция котельной № 13/73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Средства концессионера, капитальный грант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70188,2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Установка узла учета тепловой энергии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Установка пяти котлов КВМ-1,0 с механической топкой, установка горизонтального скребкового транспортера шлако-золоудаления; замена транспортера подачи угля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1.3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насосов центрального отопления;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насосов на ГВС, 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дымососов, вентиляторов, 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2-х теплообменных аппаратов системы ЦО и 3-х теплообменных аппаратов системы ГВС;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циклонов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1.4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Установка дополнительного БАГВ (Бак аккумулятор горячей воды)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1.5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системы наружного освещения котельной;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системы освещения котельных залов котельной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№ 42/138 нп. Спутник (в.г. №42)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Проектирование с прохождением экспертизы и реконструкция котельной № 42/138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Средства концессионера, капитальный грант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50487,7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теплообменных аппаратов (водо-водяных) тип: ВВП 12-219-4000 - 18 секций либо аналог 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двух котлов КВр-1,5 Мвт.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1.3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насосов центрального отопления котлового контура;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насосов ГВС котлового контура;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насосов центрального отопления;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насосов на ГВС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1.4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Установка ДГУ ЭД240-Т400-2РН.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1.5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Ремонт промышленной стальной отдельно стоящей дымовой трубы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1.6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системы наружного освещения котельной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системы освещения котельных залов котельной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1.7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Установка узла учета тепловой энергии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1.8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БАГВ (Бак аккумулятор горячей воды)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№ 4/152 ж/д ст. Печенга (в.г. №4)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Проектирование с прохождением экспертизы и реконструкция котельной № 4/152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Средства концессионера, капитальный грант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54666,0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Установка узла учета тепловой энергии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Установка четырех котлов КВМ-1,0 МВт с механической топкой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2-х дымососов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2-х теплообменных аппаратов системы центрального отопления и 2-х теплообменных аппаратов системы горячего водоснабжения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2-х насосов сетевого контура центрального отопления и 2-х насосов контура горячего водоснабжения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2-х насосов циркуляционного контура и 2-х насосов подпиточных насосов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1.3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Установка дополнительного БАГВ (Бак аккумулятор горячей воды)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1.4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системы наружного освещения котельной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системы освещения котельных залов котельной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Котельная № 3 н.п. Лиинахамари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Реконструкция котельной № 3 согласно концессионному соглашению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Средства концессионера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7638,9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подогревателей системы центрального отопления (2 шт.) 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Средства концессионера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2565,9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на аналогичные: насос сети центрального отопления, насос сети горячего водоснабжения, насос циркуляции внутреннего контура.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Средства концессионера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1544,4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1.3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Замена промышленной стальной отдельно стоящей дымовой трубы.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Средства концессионера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3528,6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котельной на газ, включая проектно-изыскательные работы и техническое перевооружение котельной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Котельные № 5/149, 5/146, 15/176, 5/106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 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Установка прибора учета отпуска тепловой энергии и теплоносителя в сеть марки "Взлет"-4 шт. на котельных №5/106, №15/146, №5/149, №5/176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1013,6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Установка ВПУ теплоносителя марки «Комплексон» — 4 шт. на котельных №5/106, №15/146, №5/149, №5/176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1349,6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3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котельных н.п. Луостари № 5/149, 5/146, 15/176, 5/106 на газ, включая проектно-изыскательные работы и техническое перевооружение котельной)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54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ФГБУ «ЦЖКУ» МО РФ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54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Котельные ФГБУ «ЦЖКУ» МО РФ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Перевод котельных на газ, включая проектно-изыскательные работы и техническое перевооружение котельных:</w:t>
            </w:r>
            <w:r>
              <w:rPr>
                <w:color w:val="000000"/>
                <w:sz w:val="22"/>
              </w:rPr>
              <w:br/>
              <w:t xml:space="preserve">пгт. Печенга № 25/52, 18/65, 13/66, 21/90, 21/110, 21/149, 25/46, 21/172;</w:t>
            </w:r>
            <w:r>
              <w:rPr>
                <w:color w:val="000000"/>
                <w:sz w:val="22"/>
              </w:rPr>
              <w:br/>
              <w:t xml:space="preserve">н.п. Вайда-Губа № 69/6;</w:t>
            </w:r>
            <w:r>
              <w:rPr>
                <w:color w:val="000000"/>
                <w:sz w:val="22"/>
              </w:rPr>
              <w:br/>
              <w:t xml:space="preserve">н.п. Спутник № 12/150, 12/151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42" w:type="dxa"/>
            <w:vAlign w:val="center"/>
            <w:textDirection w:val="lrTb"/>
            <w:noWrap w:val="false"/>
          </w:tcPr>
          <w:p>
            <w:pPr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 xml:space="preserve">Строительство новых котельных, согласно генерального плана</w:t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</w:r>
            <w:r>
              <w:rPr>
                <w:i/>
                <w:iCs/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Строительство нового источника мощностью 51,6 Гкал/ч и тепловых сетей в п.г.т. Никель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Строительство нового источника мощностью 5,2 Гкал/ч и тепловых сетей в г. Заполярный</w:t>
            </w:r>
            <w:r>
              <w:rPr>
                <w:color w:val="000000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6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БС, ВС</w:t>
            </w:r>
            <w:r>
              <w:rPr>
                <w:color w:val="000000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согласно ПСД</w:t>
            </w:r>
            <w:r>
              <w:rPr>
                <w:color w:val="000000"/>
                <w:sz w:val="22"/>
              </w:rPr>
            </w:r>
          </w:p>
        </w:tc>
      </w:tr>
    </w:tbl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 xml:space="preserve">*БС - бюджетные средства, АС - амортизационные средства, ИС – инвестиционные средства, ВБ – внебюджетные средства.</w:t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</w:r>
      <w:r>
        <w:rPr>
          <w:rFonts w:cs="Times New Roman"/>
          <w:b/>
          <w:lang w:eastAsia="ru-RU"/>
        </w:rPr>
      </w:r>
    </w:p>
    <w:p>
      <w:pPr>
        <w:pStyle w:val="717"/>
        <w:ind w:left="0" w:firstLine="0"/>
        <w:rPr>
          <w:b w:val="0"/>
        </w:rPr>
      </w:pPr>
      <w:r/>
      <w:hyperlink r:id="rId178" w:tooltip="file:///D:\Source\Ses\Docs\Оглавление%20том%202%20%20О.М..docx#bookmark144" w:anchor="bookmark144" w:history="1">
        <w:bookmarkStart w:id="398" w:name="_Toc45625291"/>
        <w:bookmarkStart w:id="399" w:name="_Toc112932046"/>
        <w:bookmarkStart w:id="400" w:name="_Toc204085798"/>
        <w:r>
          <w:t xml:space="preserve">Часть 2. </w:t>
        </w:r>
      </w:hyperlink>
      <w:r>
        <w:t xml:space="preserve">ПЕРЕЧЕНЬ МЕРОПРИЯТИЙ ПО СТРОИТЕЛЬСТВУ, РЕКОНСТРУКЦИИ, ТЕХНИЧЕСКОМУ ПЕРЕВООРУЖЕНИЮ И (ИЛИ) МОДЕРНИЗАЦИИ ТЕПЛОВЫХ СЕТЕЙ И СООРУЖЕНИЙ НА НИХ</w:t>
      </w:r>
      <w:bookmarkEnd w:id="398"/>
      <w:r/>
      <w:bookmarkEnd w:id="399"/>
      <w:r/>
      <w:bookmarkEnd w:id="400"/>
      <w:r/>
      <w:r>
        <w:rPr>
          <w:b w:val="0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ind w:firstLine="709"/>
        <w:rPr>
          <w:rFonts w:eastAsia="Times New Roman" w:cs="Times New Roman"/>
          <w:spacing w:val="-3"/>
        </w:rPr>
      </w:pPr>
      <w:r/>
      <w:bookmarkStart w:id="401" w:name="_Hlk112919982"/>
      <w:r>
        <w:rPr>
          <w:rFonts w:eastAsia="Times New Roman" w:cs="Times New Roman"/>
          <w:spacing w:val="-3"/>
        </w:rPr>
        <w:t xml:space="preserve">В таблице 16.2.1 приведен перечень мероприятий по строительству, реконструкции, техническому перевооружению и (или) модернизации тепловых сетей и сооружений на них. </w:t>
      </w:r>
      <w:bookmarkEnd w:id="401"/>
      <w:r>
        <w:rPr>
          <w:rFonts w:eastAsia="Times New Roman" w:cs="Times New Roman"/>
          <w:spacing w:val="-3"/>
        </w:rPr>
      </w:r>
    </w:p>
    <w:p>
      <w:pPr>
        <w:spacing w:before="400" w:after="200"/>
        <w:rPr>
          <w:rFonts w:cs="Times New Roman"/>
        </w:rPr>
      </w:pPr>
      <w:r>
        <w:rPr>
          <w:rFonts w:cs="Times New Roman"/>
          <w:b/>
        </w:rPr>
        <w:t xml:space="preserve">Таблица 16.2.1 - Перечень мероприятий по строительству, реконструкции, техническому перевооружению и (или) модернизации тепловых сетей и сооружений на них</w:t>
      </w:r>
      <w:r>
        <w:rPr>
          <w:rFonts w:cs="Times New Roman"/>
        </w:rPr>
      </w:r>
    </w:p>
    <w:tbl>
      <w:tblPr>
        <w:tblW w:w="92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5509"/>
        <w:gridCol w:w="1800"/>
        <w:gridCol w:w="7"/>
        <w:gridCol w:w="1533"/>
        <w:gridCol w:w="7"/>
      </w:tblGrid>
      <w:tr>
        <w:tblPrEx/>
        <w:trPr>
          <w:gridAfter w:val="1"/>
          <w:trHeight w:val="458"/>
          <w:tblHeader/>
        </w:trPr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/>
            <w:bookmarkStart w:id="402" w:name="_Hlk204007850"/>
            <w:r>
              <w:rPr>
                <w:rFonts w:cs="Times New Roman"/>
                <w:sz w:val="22"/>
              </w:rPr>
              <w:t xml:space="preserve">№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Наименование мероприятия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Источник финансирования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2f2f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Стоимость работ, тыс. руб.</w:t>
            </w:r>
            <w:r>
              <w:rPr>
                <w:rFonts w:cs="Times New Roman"/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929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i/>
                <w:iCs/>
                <w:color w:val="000000"/>
                <w:sz w:val="22"/>
              </w:rPr>
            </w:pPr>
            <w:r>
              <w:rPr>
                <w:rFonts w:cs="Times New Roman"/>
                <w:i/>
                <w:iCs/>
                <w:color w:val="000000"/>
                <w:sz w:val="22"/>
              </w:rPr>
              <w:t xml:space="preserve">Реконструкция, техническое перевооружение и (или) модернизация тепловых сетей</w:t>
            </w:r>
            <w:bookmarkStart w:id="403" w:name="_Hlk204007785"/>
            <w:r>
              <w:rPr>
                <w:rFonts w:cs="Times New Roman"/>
                <w:i/>
                <w:iCs/>
                <w:color w:val="000000"/>
                <w:sz w:val="22"/>
              </w:rPr>
              <w:t xml:space="preserve"> и сооружений на них</w:t>
            </w:r>
            <w:r>
              <w:rPr>
                <w:rFonts w:cs="Times New Roman"/>
                <w:i/>
                <w:iCs/>
                <w:color w:val="000000"/>
                <w:sz w:val="22"/>
              </w:rPr>
              <w:t xml:space="preserve"> для достижение нормативов технологических потерь при передаче тепловой энергии, теплоносителя по тепловым сетям</w:t>
            </w:r>
            <w:bookmarkEnd w:id="403"/>
            <w:r/>
            <w:r>
              <w:rPr>
                <w:rFonts w:cs="Times New Roman"/>
                <w:i/>
                <w:iCs/>
                <w:color w:val="000000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АО «МЭС»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ЭЦ-2 пгт. Никель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bottom"/>
            <w:textDirection w:val="lrTb"/>
            <w:noWrap/>
          </w:tcPr>
          <w:p>
            <w:pPr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 </w:t>
            </w:r>
            <w:r>
              <w:rPr>
                <w:rFonts w:cs="Times New Roman"/>
                <w:color w:val="000000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Реконструкция тепловых сетей от ТК-162 до ТК-165 с вводами в дд. 16, 18, 23, 23а, 25, 27 по пр-ту Гвардейскому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ИП (амортизация, прибыль направленная на инвестиции, иные собственные средства)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29669,14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Реконструкция тепловых сетей по ул. Спортивной от ТК б/н до д. 13 (СОШ № 20)</w:t>
            </w:r>
            <w:r>
              <w:rPr>
                <w:rFonts w:cs="Times New Roman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1864,99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3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Реконструкция тепловых сетей по пр-ту Гвардейскому от ТК б/н до д. 21 (СОШ № 1)</w:t>
            </w:r>
            <w:r>
              <w:rPr>
                <w:rFonts w:cs="Times New Roman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2026,58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4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Реконструкция тепловых сетей по пр-ту Гвардейскому от д. 24 до д. 24а</w:t>
            </w:r>
            <w:r>
              <w:rPr>
                <w:rFonts w:cs="Times New Roman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1005,29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5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Реконструкция тепловых сетей от ТК-106 (+ 10 м) до дд. 13, 15, 17 по ул. Мира</w:t>
            </w:r>
            <w:r>
              <w:rPr>
                <w:rFonts w:cs="Times New Roman"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3792,91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6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Закольцовка сетей горячего водоснабжения от котельной ЭЦ-2 </w:t>
            </w:r>
            <w:r>
              <w:rPr>
                <w:rFonts w:cs="Times New Roman"/>
                <w:sz w:val="22"/>
              </w:rPr>
              <w:t xml:space="preserve">далее по ул. Спортивной и вверх до пр. Гвардейский (ТК-13), далее вдоль по пр. Гвардейский до ул. Пионерская, оттуда до ул. Мира (ТК- 110), далее по ул. Мира до ТК 120, после ТК по ул. Советская до котельной протяжённостью 4500,0 м в однотрубном исчислении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ВС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41049,60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МУП «Тепловые сети»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"Заполярный"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Рекомендованные мероприятия по реконструкция тепловых сетей в зоне действия котельной г. Заполярный 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БС, ВБ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461040,00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ООО «Теплонорд»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 51 нп. Корзуново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Замена сетей, исчерпавших эксплуатационный ресурс в зоне действия котельной №51 (диаметр 50,0 мм, протяжённость 1064 п.м.)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БС, ВС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8512,42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Итого</w:t>
            </w:r>
            <w:r>
              <w:rPr>
                <w:rFonts w:cs="Times New Roman"/>
                <w:b/>
                <w:bCs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8512,42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ООО «ПромВоенСтрой»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 13/55 пгт. Печенга, ш. Печенгское (в.г. №13)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Проектирование с прохождением экспертизы и реконструкция тепловых сетей котельной № 13/55: Замена 1354 п.м. в однотрубном исчислении. По участкам: От ТК в районе </w:t>
            </w:r>
            <w:r>
              <w:rPr>
                <w:rFonts w:cs="Times New Roman"/>
                <w:sz w:val="22"/>
              </w:rPr>
              <w:t xml:space="preserve">котельной № 13/55 до угла МКД № 10; От МКД № 10 до МКД № 6 через МКД № 12 и МКД № 11; Ответвления от МКД № 10 до МКД № 8, от МКД № 12 до МКД № 7; от МКД № 11 до МКД № 6; От угла МКД № 11 до Дома офицеров; От угла МКД № 11 до МКД № 4; От МКД № 4 до МКД № 3.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Средства концессионера, капитальный грант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27860,97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 13/73 пгт. Печенга, ул. Стадионная (в.г. №13)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Проектирование с прохождением экспертизы и реконструкция тепловых сетей и сетей горячего водоснабжения котельной № 13/73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Средства концессионера, капитальный грант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45652,25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Реконструкция тепловых сетей: Замена 1181 п.м. тепловой сети в однотрубном исчислении.</w:t>
            </w:r>
            <w:r>
              <w:rPr>
                <w:rFonts w:cs="Times New Roman"/>
                <w:i/>
                <w:iCs/>
                <w:sz w:val="22"/>
              </w:rPr>
              <w:br/>
              <w:t xml:space="preserve">По участкам: От котельной до узла распределения точка «А» в районе ТК-1; От точки «А» в районе ТК-1 в сторону МКД № 7 до МКД № 8</w:t>
            </w:r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>
              <w:rPr>
                <w:rFonts w:cs="Times New Roman"/>
                <w:i/>
                <w:iCs/>
                <w:sz w:val="22"/>
              </w:rPr>
              <w:t xml:space="preserve">через МКД № 5 с ответвлением на МКД № 10; От точки «А» в районе ТК-1 в сторону МКД № 4 до МКД № 9 через МКД № </w:t>
            </w:r>
            <w:r>
              <w:rPr>
                <w:rFonts w:cs="Times New Roman"/>
                <w:i/>
                <w:iCs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1.2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Реконструкця сетей горячего водоснабжения: Замена 1181 п.м. сети горячего водоснабжения в однотрубном исчислении.</w:t>
            </w:r>
            <w:r>
              <w:rPr>
                <w:rFonts w:cs="Times New Roman"/>
                <w:i/>
                <w:iCs/>
                <w:sz w:val="22"/>
              </w:rPr>
              <w:br/>
              <w:t xml:space="preserve">По участкам: От котельной до узла распределения точка «А» в районе ТК-1; От точки «А» в районе ТК-1 в сторону МКД № 7 до МКД № 8</w:t>
            </w:r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>
              <w:rPr>
                <w:rFonts w:cs="Times New Roman"/>
                <w:i/>
                <w:iCs/>
                <w:sz w:val="22"/>
              </w:rPr>
              <w:t xml:space="preserve">через МКД № 5 с ответвлением на МКД № 10; От точки «А» в районе ТК-1 в сторону МКД № 4 до МКД № 9 через МКД № 3.</w:t>
            </w:r>
            <w:r>
              <w:rPr>
                <w:rFonts w:cs="Times New Roman"/>
                <w:i/>
                <w:iCs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 42/138 нп. Спутник (в.г. №42)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Проектирование с прохождением экспертизы и реконструкция тепловых сетей и сетей горячего водоснабжения котельной № 42/138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Средства концессионера, капитальный грант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48354,37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Реконструкция тепловых сетей: Замена - 2078 п.м. в однотрубном исчислении. По участкам: От котельной № 138 до ТК № 2 (возле МКД № 16); От центральной трассы до МКД № 8 ; От ТК №2 до МКД № 16; От ТК № 2 до</w:t>
            </w:r>
            <w:r>
              <w:rPr>
                <w:rFonts w:cs="Times New Roman"/>
                <w:sz w:val="22"/>
              </w:rPr>
              <w:t xml:space="preserve"> МКД № 19 ; От ТК 2 до ТК № 3 (возле МКД 17) ; От тк № 3 до МКД № 17; От ТК 3 до МКД № 21; От ТК 3 до МКД № 20; От котельной № 138 до ТК № 1 (возле КПП); От ТК № 1 до детского сада № 13; От центральной трассы до МКД № 18; От центральной трассы до МКД № 20.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1.2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Реконструкция сетей горячего водоснабжения: Замена 1778 п.м. в однотрубном исчислении. По</w:t>
            </w:r>
            <w:r>
              <w:rPr>
                <w:rFonts w:cs="Times New Roman"/>
                <w:sz w:val="22"/>
              </w:rPr>
              <w:t xml:space="preserve"> участкам: От котельной № 138 до ТК № 2 (возле МКД № 16); От ТК №2 до МКД № 16; От ТК № 2 до МКД № 19; От ТК 2 до ТК № 3 (возле МКД 17); От тк № 3 до МКД № 17; От ТК 3 до МКД № 21; От ТК 3 до МКД № 20; От компенсатора котельной № 138 до ТК № 1 (возле КПП).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 4/152 ж/д ст. Печенга (в.г. №4)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0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Проектирование с прохождением экспертизы и реконструкция тепловых сетей и сетей горячего водоснабжения котельной № 4/152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Средства концессионера, капитальный грант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7304,38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Реконструкция тепловых сетей: Замена 336 п.м. тепловой сети в однот</w:t>
            </w:r>
            <w:r>
              <w:rPr>
                <w:rFonts w:cs="Times New Roman"/>
                <w:i/>
                <w:iCs/>
                <w:sz w:val="22"/>
              </w:rPr>
              <w:t xml:space="preserve">рубном исчислении. По участкам: От точки врезки от центральной трассы до МКД № 2, транзитом через МКД № 2 до МКД № 4; От точки врезки от центральной трассы до МКД № 3; От точки врезки от центральной трассы до МКД № 1; От угла МКД № 1 до ТК № 1 возле дороги</w:t>
            </w:r>
            <w:r>
              <w:rPr>
                <w:rFonts w:cs="Times New Roman"/>
                <w:i/>
                <w:iCs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1.2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Реконструкция сетей горячего водоснабжения: Замена сети гор</w:t>
            </w:r>
            <w:r>
              <w:rPr>
                <w:rFonts w:cs="Times New Roman"/>
                <w:i/>
                <w:iCs/>
                <w:sz w:val="22"/>
              </w:rPr>
              <w:t xml:space="preserve">ячего водоснабжения 172 п.м. в однотрубном исчислении. По участкам: От точки врезки от центральной трассы до МКД № 2, транзитом через МКД № 2 до в МКД № 4; От точки врезки от центральной трассы до МКД № 3; От точки врезки от центральной трассы до в МКД № 1</w:t>
            </w:r>
            <w:r>
              <w:rPr>
                <w:rFonts w:cs="Times New Roman"/>
                <w:i/>
                <w:iCs/>
                <w:sz w:val="22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Котельные н.п. Луостари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0" w:type="auto"/>
            <w:vAlign w:val="center"/>
            <w:textDirection w:val="lrTb"/>
            <w:noWrap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Замена сетей, исчерпавших эксплуатационный ресурс в зоне действия котельных №15/146, №15/176, №5/106, №5/149 (Диаметр 50,0 мм - протяжённость 831 п.м.; Диаметр 100,0 мм - протяжённость 1772,4 п.м.; Диаметр 125,0 мм - протяжённость 796,1 п.м.)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ВС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27191,57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6"/>
            <w:shd w:val="clear" w:color="000000" w:fill="d9e2f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2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ФГБУ «ЦЖКУ» МО РФ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№9/49 пгт. Печенга (в.г. №9)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Рекомендованные мероприятия по замене тепловых сетей, исчерпавших свой эксплуатационный ресурс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БС, ВБ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11600,03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№21/90 пгт.</w:t>
            </w:r>
            <w:r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Печенга</w:t>
            </w:r>
            <w:r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(в.г. №21)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Рекомендованные мероприятия по замене тепловых сетей, исчерпавших свой эксплуатационный ресурс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БС, ВБ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472,4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№21/110 пгт. Печенга</w:t>
            </w:r>
            <w:r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(в.г. №21)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Рекомендованные мероприятия по замене тепловых сетей, исчерпавших свой эксплуатационный ресурс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БС, ВБ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30672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№21/149 пгт. Печенга</w:t>
            </w:r>
            <w:r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(в.г. №21)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Рекомендованные мероприятия по замене тепловых сетей, исчерпавших свой эксплуатационный ресурс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БС, ВБ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654,09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№12/150 н.п. Спутник (в.г. №12)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Рекомендованные мероприятия по замене тепловых сетей, исчерпавших свой эксплуатационный ресурс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БС, ВБ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2562,1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№25/46 пгт. Печенга (в.г.</w:t>
            </w:r>
            <w:r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№25)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Рекомендованные мероприятия по замене тепловых сетей, исчерпавших свой эксплуатационный ресурс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БС, ВБ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7916,73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№21/172 пгт. Печенга (в.г. №21)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Рекомендованные мероприятия по замене тепловых сетей, исчерпавших свой эксплуатационный ресурс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БС, ВБ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437,33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trHeight w:val="301"/>
        </w:trPr>
        <w:tc>
          <w:tcPr>
            <w:gridSpan w:val="4"/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35" w:type="dxa"/>
              <w:top w:w="15" w:type="dxa"/>
              <w:right w:w="15" w:type="dxa"/>
              <w:bottom w:w="0" w:type="dxa"/>
            </w:tcMar>
            <w:tcW w:w="7756" w:type="dxa"/>
            <w:vAlign w:val="center"/>
            <w:textDirection w:val="lrTb"/>
            <w:noWrap w:val="false"/>
          </w:tcPr>
          <w:p>
            <w:pPr>
              <w:ind w:firstLine="22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Котельная №38/177 пгт. Печенга (в.г. №38)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 </w:t>
            </w:r>
            <w:r>
              <w:rPr>
                <w:rFonts w:cs="Times New Roman"/>
                <w:sz w:val="22"/>
              </w:rPr>
            </w:r>
          </w:p>
        </w:tc>
      </w:tr>
      <w:tr>
        <w:tblPrEx/>
        <w:trPr>
          <w:gridAfter w:val="1"/>
          <w:trHeight w:val="301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509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Рекомендованные мероприятия по замене тепловых сетей, исчерпавших свой эксплуатационный ресурс</w:t>
            </w:r>
            <w:r>
              <w:rPr>
                <w:rFonts w:cs="Times New Roman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БС, ВБ</w:t>
            </w:r>
            <w:r>
              <w:rPr>
                <w:rFonts w:cs="Times New Roman"/>
                <w:sz w:val="22"/>
              </w:rPr>
            </w:r>
          </w:p>
        </w:tc>
        <w:tc>
          <w:tcPr>
            <w:gridSpan w:val="2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3140,89</w:t>
            </w:r>
            <w:bookmarkEnd w:id="402"/>
            <w:r>
              <w:rPr>
                <w:rFonts w:cs="Times New Roman"/>
                <w:sz w:val="22"/>
              </w:rPr>
            </w:r>
          </w:p>
        </w:tc>
      </w:tr>
    </w:tbl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 xml:space="preserve">*БС - бюджетные средства, АС - амортизационные средства, ИС – инвестиционные средства, ВБ – внебюджетные средства.</w:t>
      </w:r>
      <w:r>
        <w:rPr>
          <w:rFonts w:cs="Times New Roman"/>
          <w:lang w:eastAsia="ru-RU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</w:pPr>
      <w:r/>
      <w:hyperlink r:id="rId179" w:tooltip="file:///D:\Source\Ses\Docs\Оглавление%20том%202%20%20О.М..docx#bookmark145" w:anchor="bookmark145" w:history="1">
        <w:bookmarkStart w:id="404" w:name="_Toc30085181"/>
        <w:bookmarkStart w:id="405" w:name="_Toc32845504"/>
        <w:bookmarkStart w:id="406" w:name="_Toc112932047"/>
        <w:bookmarkStart w:id="407" w:name="_Toc204085799"/>
        <w:r>
          <w:t xml:space="preserve">Часть 3. ПЕРЕЧЕНЬ МЕРОПРИЯТИЙ, ОБЕСПЕЧИВАЮЩИХ ПЕРЕХОД ОТ ОТКРЫТЫХ</w:t>
        </w:r>
      </w:hyperlink>
      <w:r>
        <w:t xml:space="preserve"> </w:t>
      </w:r>
      <w:hyperlink r:id="rId180" w:tooltip="file:///D:\Source\Ses\Docs\Оглавление%20том%202%20%20О.М..docx#bookmark145" w:anchor="bookmark145" w:history="1">
        <w:r>
          <w:t xml:space="preserve">СИСТЕМ ТЕПЛОСНАБЖЕНИЯ (ГОРЯЧЕГО ВОДОСНАБЖЕНИЯ) НА ЗАКРЫТЫЕ</w:t>
        </w:r>
      </w:hyperlink>
      <w:r>
        <w:t xml:space="preserve"> </w:t>
      </w:r>
      <w:hyperlink r:id="rId181" w:tooltip="file:///D:\Source\Ses\Docs\Оглавление%20том%202%20%20О.М..docx#bookmark145" w:anchor="bookmark145" w:history="1">
        <w:r>
          <w:t xml:space="preserve">СИСТЕМЫ ГОРЯЧЕГО ВОДОСНАБЖЕНИЯ</w:t>
        </w:r>
        <w:bookmarkEnd w:id="404"/>
        <w:bookmarkEnd w:id="405"/>
        <w:bookmarkEnd w:id="406"/>
        <w:bookmarkEnd w:id="407"/>
      </w:hyperlink>
      <w:r/>
      <w:r/>
    </w:p>
    <w:p>
      <w:pPr>
        <w:pStyle w:val="737"/>
        <w:ind w:firstLine="0"/>
        <w:jc w:val="both"/>
        <w:spacing w:line="240" w:lineRule="atLeast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rPr>
          <w:rFonts w:cs="Times New Roman"/>
        </w:rPr>
      </w:pPr>
      <w:r>
        <w:rPr>
          <w:rFonts w:eastAsia="Calibri" w:cs="Times New Roman"/>
          <w:lang w:eastAsia="ru-RU"/>
        </w:rPr>
        <w:t xml:space="preserve">В таблице 16.1.1 приведены мероприятия, обеспечивающие переход от открытых систем теплоснабжения (горячего водоснабжения) на закрытые системы горячего водоснабжения.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</w:r>
      <w:r>
        <w:rPr>
          <w:rFonts w:eastAsia="Times New Roman" w:cs="Times New Roman"/>
          <w:spacing w:val="-3"/>
        </w:rPr>
      </w:r>
    </w:p>
    <w:p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Таблица 16.3.1 – </w:t>
      </w:r>
      <w:bookmarkStart w:id="408" w:name="_Hlk204008447"/>
      <w:r>
        <w:rPr>
          <w:rFonts w:cs="Times New Roman"/>
          <w:b/>
          <w:szCs w:val="24"/>
        </w:rPr>
        <w:t xml:space="preserve">П</w:t>
      </w:r>
      <w:r>
        <w:rPr>
          <w:rFonts w:cs="Times New Roman"/>
          <w:b/>
          <w:szCs w:val="24"/>
        </w:rPr>
        <w:t xml:space="preserve">еречень мероприяти</w:t>
      </w:r>
      <w:r>
        <w:rPr>
          <w:rFonts w:cs="Times New Roman"/>
          <w:b/>
          <w:szCs w:val="24"/>
        </w:rPr>
        <w:t xml:space="preserve">й</w:t>
      </w:r>
      <w:r>
        <w:rPr>
          <w:rFonts w:cs="Times New Roman"/>
          <w:b/>
          <w:szCs w:val="24"/>
        </w:rPr>
        <w:t xml:space="preserve">, обеспечивающих переход от открытых систем теплоснабжения (горячего водоснабжения) на закрытые системы горячего водоснабжения</w:t>
      </w:r>
      <w:bookmarkEnd w:id="408"/>
      <w:r/>
      <w:r>
        <w:rPr>
          <w:rFonts w:cs="Times New Roman"/>
          <w:b/>
          <w:szCs w:val="24"/>
        </w:rPr>
      </w:r>
    </w:p>
    <w:tbl>
      <w:tblPr>
        <w:tblW w:w="9332" w:type="dxa"/>
        <w:tblInd w:w="-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969"/>
        <w:gridCol w:w="2258"/>
        <w:gridCol w:w="1641"/>
        <w:gridCol w:w="1464"/>
      </w:tblGrid>
      <w:tr>
        <w:tblPrEx/>
        <w:trPr>
          <w:trHeight w:val="600"/>
        </w:trPr>
        <w:tc>
          <w:tcPr>
            <w:shd w:val="clear" w:color="000000" w:fill="f2f2f2"/>
            <w:tcW w:w="39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/>
            <w:bookmarkStart w:id="409" w:name="_Hlk204008455"/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Наименование мероприятия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f2f2f2"/>
            <w:tcW w:w="22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Краткое описание мероприятия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f2f2f2"/>
            <w:tcW w:w="16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Источник финансирования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f2f2f2"/>
            <w:tcW w:w="1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Стоимость проекта, тыс. руб.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 xml:space="preserve">п.г.т. Никель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22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tcW w:w="16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1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915"/>
        </w:trPr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Устройство ИТП у потребителей пгт. Никель для перехода на закрытую схему теплоснабжения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225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Присоединённая нагрузка на ГВС – 7,030 Гкал/ч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16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БС, ВС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1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691900,00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1215"/>
        </w:trPr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Строительство сетей горячего водоснабжения и объектов пгт. Никель на них для перехода на закрытую систему теплоснабжения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225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Будут определены проектно-сметной документацией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16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БС, ВС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1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40383,20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г. Заполярный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25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6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215"/>
        </w:trPr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Устройство ИТП у потребителей г. Заполярный для перехода на закрытую схему теплоснабжения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225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Присоединённая нагрузка на ГВС – 12,428 Гкал/ч, количество ИТП (город) - 169 шт.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16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БС, ВС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1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831566,58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3969" w:type="dxa"/>
            <w:vAlign w:val="center"/>
            <w:textDirection w:val="lrTb"/>
            <w:noWrap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 xml:space="preserve">п.г.т. Печенга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2258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6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915"/>
        </w:trPr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Устройство ИТП у потребителей котельной № 13/55 пгт. Печенга, ш. Печенгское (в.г. №13) для перехода на закрытую схему теплоснабжения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2258" w:type="dxa"/>
            <w:vAlign w:val="center"/>
            <w:textDirection w:val="lrTb"/>
            <w:noWrap w:val="false"/>
          </w:tcPr>
          <w:p>
            <w:pPr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Присоединённая нагрузка на ГВС – 0,1921 Гкал/ч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16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БС, ВС</w:t>
            </w: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14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10906,70</w:t>
            </w:r>
            <w:bookmarkEnd w:id="409"/>
            <w:r>
              <w:rPr>
                <w:rFonts w:eastAsia="Times New Roman" w:cs="Times New Roman"/>
                <w:color w:val="000000"/>
                <w:sz w:val="20"/>
                <w:lang w:eastAsia="ru-RU"/>
              </w:rPr>
            </w:r>
          </w:p>
        </w:tc>
      </w:tr>
    </w:tbl>
    <w:p>
      <w:pPr>
        <w:pStyle w:val="728"/>
        <w:ind w:firstLine="709"/>
        <w:jc w:val="both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</w:r>
      <w:r>
        <w:rPr>
          <w:rFonts w:eastAsia="Times New Roman" w:cs="Times New Roman"/>
          <w:spacing w:val="-3"/>
        </w:rPr>
      </w:r>
    </w:p>
    <w:p>
      <w:pPr>
        <w:pStyle w:val="717"/>
        <w:ind w:left="0" w:firstLine="0"/>
      </w:pPr>
      <w:r/>
      <w:bookmarkStart w:id="410" w:name="_Toc204085800"/>
      <w:r>
        <w:rPr>
          <w:sz w:val="28"/>
          <w:szCs w:val="28"/>
        </w:rPr>
        <w:t xml:space="preserve">ГЛАВА 17. ЗАМЕЧАНИЯ И ПРЕДЛОЖЕНИЯ К ПРОЕКТУ СХЕМЫ ТЕПЛОСНАБЖЕНИЯ</w:t>
      </w:r>
      <w:bookmarkEnd w:id="410"/>
      <w:r>
        <w:t xml:space="preserve"> </w:t>
      </w:r>
      <w:r/>
    </w:p>
    <w:p>
      <w:pPr>
        <w:ind w:left="116" w:right="107" w:firstLine="710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spacing w:line="244" w:lineRule="auto"/>
        <w:rPr>
          <w:rFonts w:eastAsia="Times New Roman" w:cs="Times New Roman"/>
          <w:spacing w:val="-3"/>
          <w:sz w:val="22"/>
        </w:rPr>
      </w:pPr>
      <w:r>
        <w:rPr>
          <w:rFonts w:eastAsia="Times New Roman" w:cs="Times New Roman"/>
          <w:spacing w:val="-3"/>
        </w:rPr>
        <w:t xml:space="preserve">Перечень замечаний и предложений были направлены в формате предоставленных исходных данных.</w:t>
      </w:r>
      <w:r>
        <w:rPr>
          <w:rFonts w:eastAsia="Times New Roman" w:cs="Times New Roman"/>
          <w:spacing w:val="-3"/>
          <w:sz w:val="22"/>
        </w:rPr>
      </w:r>
    </w:p>
    <w:p>
      <w:pPr>
        <w:pStyle w:val="728"/>
        <w:rPr>
          <w:rFonts w:cs="Times New Roman"/>
          <w:lang w:eastAsia="ru-RU"/>
        </w:rPr>
      </w:pP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717"/>
        <w:ind w:left="0" w:firstLine="0"/>
        <w:rPr>
          <w:sz w:val="28"/>
          <w:szCs w:val="28"/>
        </w:rPr>
      </w:pPr>
      <w:r/>
      <w:hyperlink r:id="rId182" w:tooltip="file:///D:\Source\Ses\Docs\Оглавление%20том%202%20%20О.М..docx#bookmark147" w:anchor="bookmark147" w:history="1">
        <w:bookmarkStart w:id="411" w:name="_Toc204085801"/>
        <w:r>
          <w:rPr>
            <w:sz w:val="28"/>
            <w:szCs w:val="28"/>
          </w:rPr>
          <w:t xml:space="preserve">ГЛАВА 18.</w:t>
        </w:r>
        <w:r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СВОДНЫЙ</w:t>
        </w:r>
        <w:r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ТОМ</w:t>
        </w:r>
        <w:r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ИЗМЕНЕНИЙ,</w:t>
        </w:r>
        <w:r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ВЫПОЛНЕННЫХ</w:t>
        </w:r>
        <w:r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В ДОРАБОТАННОЙ И</w:t>
        </w:r>
      </w:hyperlink>
      <w:r>
        <w:rPr>
          <w:sz w:val="28"/>
          <w:szCs w:val="28"/>
        </w:rPr>
        <w:t xml:space="preserve"> </w:t>
      </w:r>
      <w:hyperlink r:id="rId183" w:tooltip="file:///D:\Source\Ses\Docs\Оглавление%20том%202%20%20О.М..docx#bookmark147" w:anchor="bookmark147" w:history="1">
        <w:r>
          <w:rPr>
            <w:sz w:val="28"/>
            <w:szCs w:val="28"/>
          </w:rPr>
          <w:t xml:space="preserve">(ИЛИ) АКТУАЛИЗИРОВАННОЙ СХЕМЕ ТЕПЛОСНАБЖЕНИЯ</w:t>
        </w:r>
        <w:bookmarkEnd w:id="411"/>
      </w:hyperlink>
      <w:r/>
      <w:r>
        <w:rPr>
          <w:sz w:val="28"/>
          <w:szCs w:val="28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В ходе проведения актуализации Схемы теплоснабжения муниципального образования Печенгский муниципальный округ были внесены изменения </w:t>
      </w:r>
      <w:r>
        <w:rPr>
          <w:rFonts w:eastAsia="Times New Roman" w:cs="Times New Roman"/>
          <w:spacing w:val="-3"/>
        </w:rPr>
        <w:t xml:space="preserve">согласно</w:t>
      </w:r>
      <w:r>
        <w:rPr>
          <w:rFonts w:eastAsia="Times New Roman" w:cs="Times New Roman"/>
          <w:spacing w:val="-3"/>
        </w:rPr>
        <w:t xml:space="preserve"> предоставленны</w:t>
      </w:r>
      <w:r>
        <w:rPr>
          <w:rFonts w:eastAsia="Times New Roman" w:cs="Times New Roman"/>
          <w:spacing w:val="-3"/>
        </w:rPr>
        <w:t xml:space="preserve">х</w:t>
      </w:r>
      <w:r>
        <w:rPr>
          <w:rFonts w:eastAsia="Times New Roman" w:cs="Times New Roman"/>
          <w:spacing w:val="-3"/>
        </w:rPr>
        <w:t xml:space="preserve"> данны</w:t>
      </w:r>
      <w:r>
        <w:rPr>
          <w:rFonts w:eastAsia="Times New Roman" w:cs="Times New Roman"/>
          <w:spacing w:val="-3"/>
        </w:rPr>
        <w:t xml:space="preserve">х</w:t>
      </w:r>
      <w:r>
        <w:rPr>
          <w:rFonts w:eastAsia="Times New Roman" w:cs="Times New Roman"/>
          <w:spacing w:val="-3"/>
        </w:rPr>
        <w:t xml:space="preserve"> ресурсоснабжающи</w:t>
      </w:r>
      <w:r>
        <w:rPr>
          <w:rFonts w:eastAsia="Times New Roman" w:cs="Times New Roman"/>
          <w:spacing w:val="-3"/>
        </w:rPr>
        <w:t xml:space="preserve">ми</w:t>
      </w:r>
      <w:r>
        <w:rPr>
          <w:rFonts w:eastAsia="Times New Roman" w:cs="Times New Roman"/>
          <w:spacing w:val="-3"/>
        </w:rPr>
        <w:t xml:space="preserve"> организаци</w:t>
      </w:r>
      <w:r>
        <w:rPr>
          <w:rFonts w:eastAsia="Times New Roman" w:cs="Times New Roman"/>
          <w:spacing w:val="-3"/>
        </w:rPr>
        <w:t xml:space="preserve">ями</w:t>
      </w:r>
      <w:r>
        <w:rPr>
          <w:rFonts w:eastAsia="Times New Roman" w:cs="Times New Roman"/>
          <w:spacing w:val="-3"/>
        </w:rPr>
        <w:t xml:space="preserve"> и администраци</w:t>
      </w:r>
      <w:r>
        <w:rPr>
          <w:rFonts w:eastAsia="Times New Roman" w:cs="Times New Roman"/>
          <w:spacing w:val="-3"/>
        </w:rPr>
        <w:t xml:space="preserve">ей</w:t>
      </w:r>
      <w:r>
        <w:rPr>
          <w:rFonts w:eastAsia="Times New Roman" w:cs="Times New Roman"/>
          <w:spacing w:val="-3"/>
        </w:rPr>
        <w:t xml:space="preserve"> Печенгский муниципальный округ.</w:t>
      </w:r>
      <w:r>
        <w:rPr>
          <w:rFonts w:eastAsia="Times New Roman" w:cs="Times New Roman"/>
          <w:spacing w:val="-3"/>
        </w:rPr>
      </w:r>
    </w:p>
    <w:p>
      <w:pPr>
        <w:rPr>
          <w:rFonts w:eastAsia="Calibri" w:cs="Times New Roman"/>
          <w:b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</w:r>
      <w:r>
        <w:rPr>
          <w:rFonts w:eastAsia="Calibri" w:cs="Times New Roman"/>
          <w:b/>
          <w:bCs/>
          <w:sz w:val="28"/>
          <w:szCs w:val="28"/>
        </w:rPr>
      </w:r>
    </w:p>
    <w:p>
      <w:pPr>
        <w:pStyle w:val="717"/>
        <w:ind w:left="0" w:firstLine="0"/>
        <w:rPr>
          <w:sz w:val="28"/>
          <w:szCs w:val="28"/>
        </w:rPr>
      </w:pPr>
      <w:r/>
      <w:hyperlink r:id="rId184" w:tooltip="file:///D:\Source\Ses\Docs\Оглавление%20том%202%20%20О.М..docx#bookmark147" w:anchor="bookmark147" w:history="1">
        <w:bookmarkStart w:id="412" w:name="_Toc204085802"/>
        <w:bookmarkStart w:id="413" w:name="_Toc30085183"/>
        <w:bookmarkStart w:id="414" w:name="_Toc32845506"/>
        <w:r>
          <w:rPr>
            <w:sz w:val="28"/>
            <w:szCs w:val="28"/>
          </w:rPr>
          <w:t xml:space="preserve">ГЛАВА 19.</w:t>
        </w:r>
        <w:r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СЦЕНАРИИ РАЗВИТИЯ АВАРИЙ В СХЕМАХ ТЕПЛОСНАБЖЕНИЯ С МОДЕЛИРОВАНИЕМ ГИДРАВЛИЧЕСКИХ РЕЖИМОВ ТАКИХ СИСТЕМ, В ТОМ ЧИСЛЕ ПРИ ОТКАЗЕ ЭЛЕМЕНТОВ ТЕПЛОВЫХ СЕТЕЙ И ПРИ АВАРИЙНЫХ РЕЖИМАХ РАБОТЫ СИСТЕМ ТЕПЛОСНАБЖЕНИЯ, СВЯЗАННЫХ С ПРЕКРАЩЕНИЕМ ПОДАЧИ ТЕПЛОВОЙ ЭНЕРГИИ</w:t>
        </w:r>
        <w:bookmarkEnd w:id="412"/>
        <w:r>
          <w:rPr>
            <w:sz w:val="28"/>
            <w:szCs w:val="28"/>
          </w:rPr>
          <w:t xml:space="preserve"> </w:t>
        </w:r>
      </w:hyperlink>
      <w:r/>
      <w:bookmarkEnd w:id="413"/>
      <w:r/>
      <w:bookmarkEnd w:id="414"/>
      <w:r/>
      <w:r>
        <w:rPr>
          <w:sz w:val="28"/>
          <w:szCs w:val="28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eastAsia="Calibri" w:cs="Times New Roman"/>
          <w:b/>
          <w:bCs/>
          <w:szCs w:val="24"/>
        </w:rPr>
      </w:pPr>
      <w:r>
        <w:rPr>
          <w:rFonts w:eastAsia="Calibri" w:cs="Times New Roman"/>
          <w:b/>
          <w:bCs/>
          <w:szCs w:val="24"/>
        </w:rPr>
        <w:t xml:space="preserve">Часть 1. ПЛАН ДЕЙСТВИЙ ПО ЛИКВИДАЦИИ ПОСЛЕДСТВИЙ АВАРИЙНЫХ СИТУАЦИЙ В СИСТЕМЕ ЦЕНТРАЛИЗОВАННОГО ТЕПЛОСНАБЖЕНИЯ НА ТЕРРИТОРИИ</w:t>
      </w:r>
      <w:r>
        <w:rPr>
          <w:rFonts w:eastAsia="Calibri" w:cs="Times New Roman"/>
          <w:b/>
          <w:bCs/>
          <w:szCs w:val="24"/>
        </w:rPr>
      </w:r>
    </w:p>
    <w:p>
      <w:pPr>
        <w:ind w:left="116" w:right="107" w:firstLine="710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План действий по ликвидации последствий аварийных ситуаций в системе централизованного теплоснабжения на территории </w:t>
      </w:r>
      <w:r>
        <w:rPr>
          <w:rFonts w:eastAsia="Times New Roman" w:cs="Times New Roman"/>
          <w:spacing w:val="-3"/>
        </w:rPr>
        <w:t xml:space="preserve">Печенгского муниципального округа</w:t>
      </w:r>
      <w:r>
        <w:rPr>
          <w:rFonts w:eastAsia="Times New Roman" w:cs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 xml:space="preserve">утверждается Главой администрации</w:t>
      </w:r>
      <w:r>
        <w:rPr>
          <w:rFonts w:eastAsia="Times New Roman" w:cs="Times New Roman"/>
          <w:spacing w:val="-3"/>
        </w:rPr>
        <w:t xml:space="preserve">.</w:t>
      </w:r>
      <w:r>
        <w:rPr>
          <w:rFonts w:eastAsia="Times New Roman" w:cs="Times New Roman"/>
          <w:spacing w:val="-3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eastAsia="Calibri" w:cs="Times New Roman"/>
          <w:b/>
          <w:bCs/>
          <w:szCs w:val="24"/>
        </w:rPr>
      </w:pPr>
      <w:r>
        <w:rPr>
          <w:rFonts w:eastAsia="Calibri" w:cs="Times New Roman"/>
          <w:b/>
          <w:bCs/>
          <w:szCs w:val="24"/>
        </w:rPr>
        <w:t xml:space="preserve">Часть 2. СИСТЕМА МОНИТОРИНГА СОСТОЯНИЯ СИСТЕМ ТЕПЛОСНАБЖЕНИЯ НА ТЕРРИТОРИИ</w:t>
      </w:r>
      <w:r>
        <w:rPr>
          <w:rFonts w:eastAsia="Calibri" w:cs="Times New Roman"/>
          <w:b/>
          <w:bCs/>
          <w:szCs w:val="24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Система мониторинга состояния систем теплоснабжения на территории администрации </w:t>
      </w:r>
      <w:r>
        <w:rPr>
          <w:rFonts w:eastAsia="Times New Roman" w:cs="Times New Roman"/>
          <w:spacing w:val="-3"/>
        </w:rPr>
        <w:t xml:space="preserve">Печенгского муниципального округа </w:t>
      </w:r>
      <w:r>
        <w:rPr>
          <w:rFonts w:eastAsia="Times New Roman" w:cs="Times New Roman"/>
          <w:spacing w:val="-3"/>
        </w:rPr>
        <w:t xml:space="preserve">утверждается Главой администрации</w:t>
      </w:r>
      <w:r>
        <w:rPr>
          <w:rFonts w:eastAsia="Times New Roman" w:cs="Times New Roman"/>
          <w:spacing w:val="-3"/>
        </w:rPr>
        <w:t xml:space="preserve">.</w:t>
      </w:r>
      <w:r>
        <w:rPr>
          <w:rFonts w:eastAsia="Times New Roman" w:cs="Times New Roman"/>
          <w:spacing w:val="-3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eastAsia="Calibri" w:cs="Times New Roman"/>
          <w:b/>
          <w:bCs/>
          <w:szCs w:val="24"/>
        </w:rPr>
      </w:pPr>
      <w:r>
        <w:rPr>
          <w:rFonts w:eastAsia="Calibri" w:cs="Times New Roman"/>
          <w:b/>
          <w:bCs/>
          <w:szCs w:val="24"/>
        </w:rPr>
        <w:t xml:space="preserve">Часть 3. МЕХАНИЗМ ОПЕРАТИВНО-ДИСПЕТЧЕРСКОГО УПРАВЛЕНИЯ В СИСТЕМЕ ТЕПЛОСНАБЖЕНИЯ НА ТЕРРИТОРИИ</w:t>
      </w:r>
      <w:r>
        <w:rPr>
          <w:rFonts w:eastAsia="Calibri" w:cs="Times New Roman"/>
          <w:b/>
          <w:bCs/>
          <w:szCs w:val="24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Механизм оперативно-диспетчерского управления в системе теплоснабжения на территории Печенгск</w:t>
      </w:r>
      <w:r>
        <w:rPr>
          <w:rFonts w:eastAsia="Times New Roman" w:cs="Times New Roman"/>
          <w:spacing w:val="-3"/>
        </w:rPr>
        <w:t xml:space="preserve">ого</w:t>
      </w:r>
      <w:r>
        <w:rPr>
          <w:rFonts w:eastAsia="Times New Roman" w:cs="Times New Roman"/>
          <w:spacing w:val="-3"/>
        </w:rPr>
        <w:t xml:space="preserve"> муниципальн</w:t>
      </w:r>
      <w:r>
        <w:rPr>
          <w:rFonts w:eastAsia="Times New Roman" w:cs="Times New Roman"/>
          <w:spacing w:val="-3"/>
        </w:rPr>
        <w:t xml:space="preserve">ого </w:t>
      </w:r>
      <w:r>
        <w:rPr>
          <w:rFonts w:eastAsia="Times New Roman" w:cs="Times New Roman"/>
          <w:spacing w:val="-3"/>
        </w:rPr>
        <w:t xml:space="preserve">округ</w:t>
      </w:r>
      <w:r>
        <w:rPr>
          <w:rFonts w:eastAsia="Times New Roman" w:cs="Times New Roman"/>
          <w:spacing w:val="-3"/>
        </w:rPr>
        <w:t xml:space="preserve">а</w:t>
      </w:r>
      <w:r>
        <w:rPr>
          <w:rFonts w:eastAsia="Times New Roman" w:cs="Times New Roman"/>
          <w:spacing w:val="-3"/>
        </w:rPr>
        <w:t xml:space="preserve">, </w:t>
      </w:r>
      <w:r>
        <w:rPr>
          <w:rFonts w:eastAsia="Times New Roman" w:cs="Times New Roman"/>
          <w:spacing w:val="-3"/>
        </w:rPr>
        <w:t xml:space="preserve">утверждается Главой администрации</w:t>
      </w:r>
      <w:r>
        <w:rPr>
          <w:rFonts w:eastAsia="Times New Roman" w:cs="Times New Roman"/>
          <w:spacing w:val="-3"/>
        </w:rPr>
        <w:t xml:space="preserve">.</w:t>
      </w:r>
      <w:r>
        <w:rPr>
          <w:rFonts w:eastAsia="Times New Roman" w:cs="Times New Roman"/>
          <w:spacing w:val="-3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eastAsia="Calibri" w:cs="Times New Roman"/>
          <w:b/>
          <w:bCs/>
          <w:szCs w:val="24"/>
        </w:rPr>
      </w:pPr>
      <w:r>
        <w:rPr>
          <w:rFonts w:eastAsia="Calibri" w:cs="Times New Roman"/>
          <w:b/>
          <w:bCs/>
          <w:szCs w:val="24"/>
        </w:rPr>
        <w:t xml:space="preserve">Часть 4. СЦЕНАРИИ НАИБОЛЕЕ ВЕРОЯТНЫХ АВАРИЙНЫХ СИТУАЦИЙ В СИСТЕМЕ ЦЕНТРАЛИЗОВАННОГО ТЕПЛОСНАБЖЕНИЯ НА ТЕРРИТОРИИ</w:t>
      </w:r>
      <w:r>
        <w:rPr>
          <w:rFonts w:eastAsia="Calibri" w:cs="Times New Roman"/>
          <w:b/>
          <w:bCs/>
          <w:szCs w:val="24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Наиболее вероятными причинами возникновения аварийных ситуаций в работе систем централизованного теплоснабжения на территории могут послужить: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- неблагоприятные погодно-климатические явления (ураганы, смерчи, бури, сильные ветры, сильные морозы, снегопады и метели, обледенение и гололед и т.д.);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- человеческий фактор (неправильные действия персонала и т.д.);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- прекращение подачи электрической энергии, холодной воды, топлива на источник тепловой энергии, ЦТП, насосную станцию;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- внеплановые остановки (выход из строя) оборудования на объектах систем теплоснабжения.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Описания, причины возникновения, возможные характеристики развития и последствия, а также типовые действия при аварийной ситуации, приведены в таблице ниже.</w:t>
      </w:r>
      <w:r>
        <w:rPr>
          <w:rFonts w:eastAsia="Times New Roman" w:cs="Times New Roman"/>
          <w:spacing w:val="-3"/>
        </w:rPr>
      </w:r>
    </w:p>
    <w:p>
      <w:pPr>
        <w:ind w:right="107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</w:r>
      <w:r>
        <w:rPr>
          <w:rFonts w:eastAsia="Times New Roman" w:cs="Times New Roman"/>
          <w:spacing w:val="-3"/>
        </w:rPr>
      </w:r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rPr>
          <w:rFonts w:cs="Times New Roman"/>
          <w:b/>
        </w:rPr>
      </w:pPr>
      <w:r>
        <w:rPr>
          <w:rFonts w:cs="Times New Roman"/>
          <w:b/>
        </w:rPr>
        <w:t xml:space="preserve">Таблица 19.4.1 - </w:t>
      </w:r>
      <w:bookmarkStart w:id="415" w:name="_Ref101342179"/>
      <w:r>
        <w:rPr>
          <w:rFonts w:cs="Times New Roman"/>
          <w:b/>
        </w:rPr>
        <w:t xml:space="preserve">Перечень </w:t>
      </w:r>
      <w:bookmarkEnd w:id="415"/>
      <w:r>
        <w:rPr>
          <w:rFonts w:cs="Times New Roman"/>
          <w:b/>
        </w:rPr>
        <w:t xml:space="preserve">возможных аварийных ситуаций, их описание, типовые действия при ликвидации последствий аварийных ситуаций </w:t>
      </w:r>
      <w:r>
        <w:rPr>
          <w:rFonts w:cs="Times New Roman"/>
          <w:b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86"/>
        <w:gridCol w:w="1510"/>
        <w:gridCol w:w="1629"/>
        <w:gridCol w:w="2054"/>
        <w:gridCol w:w="3666"/>
      </w:tblGrid>
      <w:tr>
        <w:tblPrEx/>
        <w:trPr>
          <w:trHeight w:val="397"/>
          <w:tblHeader/>
        </w:trPr>
        <w:tc>
          <w:tcPr>
            <w:shd w:val="clear" w:color="auto" w:fill="f2f2f2" w:themeFill="background1" w:themeFillShade="F2"/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№ п/п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 w:themeFill="background1" w:themeFillShade="F2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Описание аварийной ситуации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 w:themeFill="background1" w:themeFillShade="F2"/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Причина возникновения аварийной ситуации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 w:themeFill="background1" w:themeFillShade="F2"/>
            <w:tcW w:w="2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Возможные характеристики развития аварии и последствия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f2f2f2" w:themeFill="background1" w:themeFillShade="F2"/>
            <w:tcW w:w="43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Действия при ликвидации последствий аварийных ситуаций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Остановка работы источника тепловой энергии, ЦТП, насосной станции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Прекращение подачи электроэнергии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Прекращение циркуляции в системах теплопотребления потребителей, понижение температуры в зданиях, возможное размораживание наружных тепловых сетей и внутренних отопительных систем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43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Информирование об отсутствии электроэнергии ЕДС, электросетевой организации.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Переход на резервный или автономный источник электроснабжения (второй ввод, дизель-генератор).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 длительном отсутствии электроэнергии организация ремонтных работ по предотвращению размораживания силами персонала теплоснабжающей организации и организациями, осуществляющими управление многоквартирными жилыми домами.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Ограничение работы источника тепловой энергии, ЦТП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Прекращение подачи холодной воды на источнике тепловой энергии, ЦТП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Ограничение циркуляции теплоносителя в системах теплопотребления, понижение температуры воздуха в зданиях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43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Информирование об отсутствии холодной воды водоснабжающей организации, ЕДС.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 длительном отсутствии подачи воды и открытой с</w:t>
            </w:r>
            <w:r>
              <w:rPr>
                <w:rFonts w:cs="Times New Roman"/>
                <w:sz w:val="20"/>
                <w:szCs w:val="20"/>
              </w:rPr>
              <w:t xml:space="preserve">истеме горячего водоснабжения, прекращение горячего водоснабжения, организация ремонтных работ и необходимых мер по предотвращению размораживания силами теплоснабжающей организации и организациями, осуществляющими управление многоквартирными жилыми домами.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Остановка нагрева воды на источнике тепловой энергии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Прекращение подачи топлива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Прекращение подачи нагретой воды в системы теплопотребления, понижение температуры воздуха в зданиях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43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Информирование о прекращении подачи топлива газоснабжающей организации, ЕДС.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Организация перехода на резервное топливо.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 длительном отсутствии подачи газа и отсутствии резервного топлива организация ремонтных работ по предотвращению размораживания силами теплоснабжающей организации и организациями, осуществляющими управление многоквартирными жилыми домами.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Ограничение (остановка) работы источника тепловой энергии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Выход из строя сетевого (сетевых) насоса(ов)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Прекращение циркуляции в системах теплопотребления, понижение температуры воздуха в зданиях, возможное размораживание наружных тепловых сетей и внутренних отопительных систем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43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Выполнение переключения на резервный насос.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 невозможности переключения организация ремонтных работ.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 длительном отсутствии работы насоса организация ремонтных работ по предотвращению размораживания силами теплоснабжающей организации и организациями, осуществляющими управление многоквартирными жилыми домами.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Ограничение (остановка) работы источника тепловой энергии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Выход из строя котла (котлов)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Ограничение (прекращение) подачи теплоносителя в систему отопления всех потребителей, понижение температуры воздуха в зданиях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43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Выполнение переключения на резервный котел. При невозможности переключения и снижении отпуска тепловой энергии организация работы по ремонту.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 длительном отсутствии работы котла организация ремонтных работ по предотвращению размораживания силами теплоснабжающей организации и организаций, осуществляющих управление многоквартирными жилыми домами.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Полное прекращение циркуляции в магистральном трубопроводе тепловой сети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Разрушение трубопровода, выход из строя запорной арматуры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Прекращение циркуляции в части системы теплоснабжения, понижение температуры в зданиях, возможное размораживание наружных тепловых сетей и внутренних отопительных систем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43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Орга</w:t>
            </w:r>
            <w:r>
              <w:rPr>
                <w:rFonts w:cs="Times New Roman"/>
                <w:sz w:val="20"/>
                <w:szCs w:val="20"/>
              </w:rPr>
              <w:t xml:space="preserve">низация переключения теплоснабжения поврежденного участка от другого участка тепловых сетей (через секционирующую арматуру). Оптимальную схему теплоснабжения населенного пункта (части населенного пункта) определить с применением электронного моделирования.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 длительном отсутствии циркуляции организовать ремонтные работы по предотвращению размораживания силами теплоснабжающей организации и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организаций, осуществляющих управление многоквартирными жилыми домами.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eastAsia="Calibri" w:cs="Times New Roman"/>
          <w:b/>
          <w:bCs/>
          <w:szCs w:val="24"/>
        </w:rPr>
        <w:t xml:space="preserve">Часть 5. ПРИМЕНЕНИЕ ЭЛЕКТРОННОГО МОДЕЛИРОВАНИЯ ПРИ ЛИКВИДАЦИИ ПОСЛЕДСТВИЙ АВАРИЙНЫХ СИТУАЦИЙ (ПРИ ОТКАЗЕ ЭЛЕМЕНТОВ ТЕПЛОВЫХ СЕТЕЙ, ПРИ АВАРИЙНЫХ РЕЖИМАХ РАБОТЫ СИСТЕМ ТЕПЛОСНАБЖЕНИЯ, СВЯЗАННЫХ С ПРЕКРАЩЕНИЕМ ПОДАЧИ ТЕПЛОВОЙ ЭНЕРГИИ)</w:t>
      </w:r>
      <w:r>
        <w:rPr>
          <w:rFonts w:cs="Times New Roman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В целях компью</w:t>
      </w:r>
      <w:r>
        <w:rPr>
          <w:rFonts w:eastAsia="Times New Roman" w:cs="Times New Roman"/>
          <w:spacing w:val="-3"/>
        </w:rPr>
        <w:t xml:space="preserve">терного моделирования при ликвидации последствий аварийных ситуаций теплоснабжающая организация обязана использовать электронную модель системы теплоснабжения, созданную с применением специализированного программно-расчетного комплекса. При этом в соответс</w:t>
      </w:r>
      <w:r>
        <w:rPr>
          <w:rFonts w:eastAsia="Times New Roman" w:cs="Times New Roman"/>
          <w:spacing w:val="-3"/>
        </w:rPr>
        <w:t xml:space="preserve">твии с пунктом 55 Требований к схемам теплоснабжения, утвержденных постановлением Правительства Российской Федерации от 22.02.2012 № 154, электронная модель системы теплоснабжения поселения, городского округа, города федерального значения должна содержать: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а) графическое представление объектов системы теплоснабжения с привязкой к топографической основе поселения, городского округа, города федерального значения и с полным топологическим описанием связности объектов;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б) паспортизацию объектов системы теплоснабжения;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в) паспортизацию и описание расчетных единиц территориального деления, включая административное;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г) 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д) моделирование всех видов переключений, осуществляемых в тепловых сетях, в том числе переключений тепловых нагрузок между источниками тепловой энергии;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е) расчет балансов тепловой энергии по источникам тепловой энергии и по территориальному признаку;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ж) расчет потерь тепловой энергии через изоляцию и с утечками теплоносителя;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з) расчет показателей надежности теплоснабжения;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и) 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к) сравнительные пьезометрические графики для разработки и анализа сценариев перспективного развития тепловых сетей.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Задачи, решаемые с применением электронного моделирования при ликвидации последствий аварийных ситуаций, относятся к процессам эксплуатации системы теплоснабжения, диспетчерскому и технологическому управлению системой и должны включать в себя: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- моделирование изменений гидравлического режима при аварийных переключениях и отключениях; 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- формирование рекомендаций по локализации аварийных ситуаций и моделирование последствий выполнения этих рекомендаций;</w:t>
      </w:r>
      <w:r>
        <w:rPr>
          <w:rFonts w:eastAsia="Times New Roman" w:cs="Times New Roman"/>
          <w:spacing w:val="-3"/>
        </w:rPr>
      </w:r>
    </w:p>
    <w:p>
      <w:pPr>
        <w:ind w:left="116" w:right="107" w:firstLine="710"/>
        <w:jc w:val="both"/>
        <w:spacing w:line="244" w:lineRule="auto"/>
        <w:rPr>
          <w:rFonts w:eastAsia="Times New Roman" w:cs="Times New Roman"/>
          <w:spacing w:val="-3"/>
        </w:rPr>
      </w:pPr>
      <w:r>
        <w:rPr>
          <w:rFonts w:eastAsia="Times New Roman" w:cs="Times New Roman"/>
          <w:spacing w:val="-3"/>
        </w:rPr>
        <w:t xml:space="preserve">- формирование перечней и сводок по отключаемым абонентам иную информацию, необходимую для электронного моделирования ликвидации последствий аварийных ситуаций.</w:t>
      </w:r>
      <w:r>
        <w:rPr>
          <w:rFonts w:eastAsia="Times New Roman" w:cs="Times New Roman"/>
          <w:spacing w:val="-3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eastAsia="Calibri" w:cs="Times New Roman"/>
          <w:b/>
          <w:bCs/>
          <w:szCs w:val="24"/>
        </w:rPr>
        <w:t xml:space="preserve">Часть 6. СЦЕНАРИИ РАЗВИТИЯ АВАРИЙ В СИСТЕМАХ ТЕПЛОСНАБЖЕНИЯ С МОДЕЛИРОВАНИЕМ ГИДРАВЛИЧЕСКИХ РЕЖИМОВ</w:t>
      </w:r>
      <w:r>
        <w:rPr>
          <w:rFonts w:cs="Times New Roman"/>
        </w:rPr>
      </w:r>
    </w:p>
    <w:p>
      <w:pPr>
        <w:pStyle w:val="728"/>
        <w:rPr>
          <w:rFonts w:eastAsia="Times New Roman" w:cs="Times New Roman"/>
          <w:b/>
          <w:bCs/>
          <w:lang w:eastAsia="ru-RU"/>
        </w:rPr>
      </w:pPr>
      <w:r>
        <w:rPr>
          <w:rFonts w:eastAsia="Times New Roman" w:cs="Times New Roman"/>
          <w:b/>
          <w:bCs/>
          <w:lang w:eastAsia="ru-RU"/>
        </w:rPr>
      </w:r>
      <w:r>
        <w:rPr>
          <w:rFonts w:eastAsia="Times New Roman" w:cs="Times New Roman"/>
          <w:b/>
          <w:bCs/>
          <w:lang w:eastAsia="ru-RU"/>
        </w:rPr>
      </w:r>
    </w:p>
    <w:p>
      <w:pPr>
        <w:pStyle w:val="3456"/>
        <w:ind w:firstLine="0"/>
        <w:rPr>
          <w:b/>
          <w:sz w:val="24"/>
        </w:rPr>
      </w:pPr>
      <w:r/>
      <w:bookmarkStart w:id="416" w:name="_Toc103776494"/>
      <w:r>
        <w:rPr>
          <w:b/>
          <w:sz w:val="24"/>
        </w:rPr>
        <w:t xml:space="preserve">6.1 Отказ элементов тепловых сетей</w:t>
      </w:r>
      <w:bookmarkEnd w:id="416"/>
      <w:r/>
      <w:r>
        <w:rPr>
          <w:b/>
          <w:sz w:val="24"/>
        </w:rPr>
      </w:r>
    </w:p>
    <w:p>
      <w:pPr>
        <w:pStyle w:val="728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Для решения данной задачи используется модуль «Коммутационные задачи» программно-расчетного комплекса Zulu. «</w:t>
      </w:r>
      <w:hyperlink r:id="rId185" w:tooltip="http://www.politerm.spb.ru/zuluthermo/webhelp/commtasks.html" w:history="1">
        <w:r>
          <w:rPr>
            <w:rFonts w:cs="Times New Roman"/>
          </w:rPr>
          <w:t xml:space="preserve">Коммутационные задачи</w:t>
        </w:r>
      </w:hyperlink>
      <w:r>
        <w:rPr>
          <w:rFonts w:cs="Times New Roman"/>
        </w:rPr>
        <w:t xml:space="preserve">» предназначены для анализа изменений вследствие отключения задвижек или участков сети.</w:t>
      </w:r>
      <w:r>
        <w:rPr>
          <w:rFonts w:cs="Times New Roman"/>
        </w:rPr>
        <w:t xml:space="preserve"> Данный модуль производит автоматический поиск ближайшей запорной арматуры для отключения и изоляции элементов тепловой сети (участок, потребителей и т.д.). В результате выполнения коммутационной задачи определяются объекты, попавшие под отключение. При эт</w:t>
      </w:r>
      <w:r>
        <w:rPr>
          <w:rFonts w:cs="Times New Roman"/>
        </w:rPr>
        <w:t xml:space="preserve">ом производится расчет объемов воды, которые возможно придется сливать из трубопроводов тепловой сети и систем теплопотребления. Результаты расчета отображаются на карте в виде тематической раскраски отключенных участков и потребителей и выводятся в отчет.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Особенности модуля «Коммутационные задачи»: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- для выполнения коммутационных задач обязательно отображение всех задвижек;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- используется две категории слоев: топологическая модель сети и слой подложка с объектами;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- модель открывается в режиме «чтения», изменения в математическую модель не заносятся.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Результат выполнения коммутационных задач: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- вывод списка запорных устройств;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- формирование перечня отключенных объектов сети;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- формирование перечня отключенных потребителей;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- печать и экспорт в таблицу Microsoft Excel.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ZuluThermo отображает отключенные объекты сети и здания на карте в виде тематической раскраски, определяют итоговые значения: объемы теплоносителя в отключенных тепловых сетях, суммарная отключенная нагрузка и т.д.</w:t>
      </w:r>
      <w:r>
        <w:rPr>
          <w:rFonts w:cs="Times New Roman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3456"/>
        <w:ind w:firstLine="0"/>
        <w:rPr>
          <w:b/>
          <w:sz w:val="24"/>
        </w:rPr>
      </w:pPr>
      <w:r/>
      <w:bookmarkStart w:id="417" w:name="_Toc103776495"/>
      <w:r>
        <w:rPr>
          <w:b/>
          <w:sz w:val="24"/>
        </w:rPr>
        <w:t xml:space="preserve">6.2 Аварийные режимы работы систем теплоснабжения, связанные с прекращением (или ограничением) подачи тепловой энергии на источниках тепловой энергии</w:t>
      </w:r>
      <w:bookmarkEnd w:id="417"/>
      <w:r/>
      <w:r>
        <w:rPr>
          <w:b/>
          <w:sz w:val="24"/>
        </w:rPr>
      </w:r>
    </w:p>
    <w:p>
      <w:pPr>
        <w:pStyle w:val="728"/>
        <w:ind w:firstLine="709"/>
        <w:jc w:val="both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3439"/>
        <w:ind w:firstLine="709"/>
        <w:rPr>
          <w:rFonts w:ascii="Times New Roman" w:hAnsi="Times New Roman" w:eastAsiaTheme="minorHAnsi"/>
          <w:sz w:val="24"/>
          <w:szCs w:val="22"/>
          <w:lang w:eastAsia="en-US"/>
        </w:rPr>
      </w:pPr>
      <w:r>
        <w:rPr>
          <w:rFonts w:ascii="Times New Roman" w:hAnsi="Times New Roman" w:eastAsiaTheme="minorHAnsi"/>
          <w:sz w:val="24"/>
          <w:szCs w:val="22"/>
          <w:lang w:eastAsia="en-US"/>
        </w:rPr>
        <w:t xml:space="preserve">Для решения данной задачи используется поверочный расчет программно-расчетного комплекса Zulu.</w:t>
      </w:r>
      <w:r>
        <w:rPr>
          <w:rFonts w:ascii="Times New Roman" w:hAnsi="Times New Roman" w:eastAsiaTheme="minorHAnsi"/>
          <w:sz w:val="24"/>
          <w:szCs w:val="22"/>
          <w:lang w:eastAsia="en-US"/>
        </w:rPr>
      </w:r>
    </w:p>
    <w:p>
      <w:pPr>
        <w:pStyle w:val="3439"/>
        <w:ind w:firstLine="709"/>
        <w:rPr>
          <w:rFonts w:ascii="Times New Roman" w:hAnsi="Times New Roman" w:eastAsiaTheme="minorHAnsi"/>
          <w:sz w:val="24"/>
          <w:szCs w:val="22"/>
          <w:lang w:eastAsia="en-US"/>
        </w:rPr>
      </w:pPr>
      <w:r>
        <w:rPr>
          <w:rFonts w:ascii="Times New Roman" w:hAnsi="Times New Roman" w:eastAsiaTheme="minorHAnsi"/>
          <w:sz w:val="24"/>
          <w:szCs w:val="22"/>
          <w:lang w:eastAsia="en-US"/>
        </w:rPr>
        <w:t xml:space="preserve">Целью поверочного ра</w:t>
      </w:r>
      <w:r>
        <w:rPr>
          <w:rFonts w:ascii="Times New Roman" w:hAnsi="Times New Roman" w:eastAsiaTheme="minorHAnsi"/>
          <w:sz w:val="24"/>
          <w:szCs w:val="22"/>
          <w:lang w:eastAsia="en-US"/>
        </w:rPr>
        <w:t xml:space="preserve">счета является определение фактических расходов теплоносителя на участках тепловой сети и у потребителей,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источнике.</w:t>
      </w:r>
      <w:r>
        <w:rPr>
          <w:rFonts w:ascii="Times New Roman" w:hAnsi="Times New Roman" w:eastAsiaTheme="minorHAnsi"/>
          <w:sz w:val="24"/>
          <w:szCs w:val="22"/>
          <w:lang w:eastAsia="en-US"/>
        </w:rPr>
      </w:r>
    </w:p>
    <w:p>
      <w:pPr>
        <w:pStyle w:val="3439"/>
        <w:ind w:firstLine="709"/>
        <w:rPr>
          <w:rFonts w:ascii="Times New Roman" w:hAnsi="Times New Roman" w:eastAsiaTheme="minorHAnsi"/>
          <w:sz w:val="24"/>
          <w:szCs w:val="22"/>
          <w:lang w:eastAsia="en-US"/>
        </w:rPr>
      </w:pPr>
      <w:r>
        <w:rPr>
          <w:rFonts w:ascii="Times New Roman" w:hAnsi="Times New Roman" w:eastAsiaTheme="minorHAnsi"/>
          <w:sz w:val="24"/>
          <w:szCs w:val="22"/>
          <w:lang w:eastAsia="en-US"/>
        </w:rPr>
        <w:t xml:space="preserve">Созданная математическая имитационная модель системы теплоснабжения, служащая для решения поверочной задачи, позволяет анализировать гидравлический и тепловой режим работы, а также прогнозировать изменение температуры внутреннего воздуха у потребителей.</w:t>
      </w:r>
      <w:r>
        <w:rPr>
          <w:rFonts w:ascii="Times New Roman" w:hAnsi="Times New Roman" w:eastAsiaTheme="minorHAnsi"/>
          <w:sz w:val="24"/>
          <w:szCs w:val="22"/>
          <w:lang w:eastAsia="en-US"/>
        </w:rPr>
      </w:r>
    </w:p>
    <w:p>
      <w:pPr>
        <w:pStyle w:val="3439"/>
        <w:ind w:firstLine="709"/>
        <w:rPr>
          <w:rFonts w:ascii="Times New Roman" w:hAnsi="Times New Roman" w:eastAsiaTheme="minorHAnsi"/>
          <w:sz w:val="24"/>
          <w:szCs w:val="22"/>
          <w:lang w:eastAsia="en-US"/>
        </w:rPr>
      </w:pPr>
      <w:r>
        <w:rPr>
          <w:rFonts w:ascii="Times New Roman" w:hAnsi="Times New Roman" w:eastAsiaTheme="minorHAnsi"/>
          <w:sz w:val="24"/>
          <w:szCs w:val="22"/>
          <w:lang w:eastAsia="en-US"/>
        </w:rPr>
        <w:t xml:space="preserve">Расчёт тепловых сетей можно проводить с учётом:</w:t>
      </w:r>
      <w:r>
        <w:rPr>
          <w:rFonts w:ascii="Times New Roman" w:hAnsi="Times New Roman" w:eastAsiaTheme="minorHAnsi"/>
          <w:sz w:val="24"/>
          <w:szCs w:val="22"/>
          <w:lang w:eastAsia="en-US"/>
        </w:rPr>
      </w:r>
    </w:p>
    <w:p>
      <w:pPr>
        <w:pStyle w:val="3443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нормативных утечек из тепловой сети и систем теплопотребления;</w:t>
      </w:r>
      <w:r>
        <w:rPr>
          <w:rFonts w:ascii="Times New Roman" w:hAnsi="Times New Roman" w:cs="Times New Roman"/>
          <w:sz w:val="24"/>
        </w:rPr>
      </w:r>
    </w:p>
    <w:p>
      <w:pPr>
        <w:pStyle w:val="3443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нормативных или фактических тепловых потерь в трубопроводах тепловой сети;</w:t>
      </w:r>
      <w:r>
        <w:rPr>
          <w:rFonts w:ascii="Times New Roman" w:hAnsi="Times New Roman" w:cs="Times New Roman"/>
          <w:sz w:val="24"/>
        </w:rPr>
      </w:r>
    </w:p>
    <w:p>
      <w:pPr>
        <w:pStyle w:val="3443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фактически установленного оборудования на абонентских вводах и тепловых сетях: дросселирующих шайб, регуляторов температуры, давления и прочих элементов автоматизации;</w:t>
      </w:r>
      <w:r>
        <w:rPr>
          <w:rFonts w:ascii="Times New Roman" w:hAnsi="Times New Roman" w:cs="Times New Roman"/>
          <w:sz w:val="24"/>
        </w:rPr>
      </w:r>
    </w:p>
    <w:p>
      <w:pPr>
        <w:pStyle w:val="3443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86" w:tooltip="https://www.politerm.com/zuluthermo/webhelp/poverka_summermode_calcoptions.html" w:history="1">
        <w:r>
          <w:rPr>
            <w:rFonts w:ascii="Times New Roman" w:hAnsi="Times New Roman" w:cs="Times New Roman"/>
            <w:sz w:val="24"/>
          </w:rPr>
          <w:t xml:space="preserve">летнего режима</w:t>
        </w:r>
      </w:hyperlink>
      <w:r>
        <w:rPr>
          <w:rFonts w:ascii="Times New Roman" w:hAnsi="Times New Roman" w:cs="Times New Roman"/>
          <w:sz w:val="24"/>
        </w:rPr>
        <w:t xml:space="preserve"> - режима, в котором автоматически отключается отопительная нагрузка и нагрузка на вентиляцию и во время расчета меняются схемы присоединения потребителей и ЦТП;</w:t>
      </w:r>
      <w:r>
        <w:rPr>
          <w:rFonts w:ascii="Times New Roman" w:hAnsi="Times New Roman" w:cs="Times New Roman"/>
          <w:sz w:val="24"/>
        </w:rPr>
      </w:r>
    </w:p>
    <w:p>
      <w:pPr>
        <w:pStyle w:val="3443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87" w:tooltip="https://www.politerm.com/zuluthermo/webhelp/poverka_regul_gvs.html" w:history="1">
        <w:r>
          <w:rPr>
            <w:rFonts w:ascii="Times New Roman" w:hAnsi="Times New Roman" w:cs="Times New Roman"/>
            <w:sz w:val="24"/>
          </w:rPr>
          <w:t xml:space="preserve">регулирование нагрузки на ГВС</w:t>
        </w:r>
      </w:hyperlink>
      <w:r>
        <w:rPr>
          <w:rFonts w:ascii="Times New Roman" w:hAnsi="Times New Roman" w:cs="Times New Roman"/>
          <w:sz w:val="24"/>
        </w:rPr>
        <w:t xml:space="preserve"> - позволяет моделировать режимы работы, когда нагрузка на системы ГВС отсутствует (только циркуляция) или отличается от расчетной; процент изменения нагрузки ГВС указывается пользователем;</w:t>
      </w:r>
      <w:r>
        <w:rPr>
          <w:rFonts w:ascii="Times New Roman" w:hAnsi="Times New Roman" w:cs="Times New Roman"/>
          <w:sz w:val="24"/>
        </w:rPr>
      </w:r>
    </w:p>
    <w:p>
      <w:pPr>
        <w:pStyle w:val="3443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данных от измерительных приборов, SCADA и систем автоматизации, полученных с помощью </w:t>
      </w:r>
      <w:hyperlink r:id="rId188" w:tooltip="https://www.politerm.com/products/scada/zuluopc/" w:history="1">
        <w:r>
          <w:rPr>
            <w:rFonts w:ascii="Times New Roman" w:hAnsi="Times New Roman" w:cs="Times New Roman"/>
            <w:sz w:val="24"/>
          </w:rPr>
          <w:t xml:space="preserve">ZuluOPC</w:t>
        </w:r>
      </w:hyperlink>
      <w:r>
        <w:rPr>
          <w:rFonts w:ascii="Times New Roman" w:hAnsi="Times New Roman" w:cs="Times New Roman"/>
          <w:sz w:val="24"/>
        </w:rPr>
        <w:t xml:space="preserve">;</w:t>
      </w:r>
      <w:r>
        <w:rPr>
          <w:rFonts w:ascii="Times New Roman" w:hAnsi="Times New Roman" w:cs="Times New Roman"/>
          <w:sz w:val="24"/>
        </w:rPr>
      </w:r>
    </w:p>
    <w:p>
      <w:pPr>
        <w:pStyle w:val="3443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данных о теплосети, полученных в результате </w:t>
      </w:r>
      <w:hyperlink r:id="rId189" w:tooltip="https://www.politerm.com/zuluthermo/webhelp/calibration.html" w:history="1">
        <w:r>
          <w:rPr>
            <w:rFonts w:ascii="Times New Roman" w:hAnsi="Times New Roman" w:cs="Times New Roman"/>
            <w:sz w:val="24"/>
          </w:rPr>
          <w:t xml:space="preserve">калибровки электронной модели</w:t>
        </w:r>
      </w:hyperlink>
      <w:r>
        <w:rPr>
          <w:rFonts w:ascii="Times New Roman" w:hAnsi="Times New Roman" w:cs="Times New Roman"/>
          <w:sz w:val="24"/>
        </w:rPr>
        <w:t xml:space="preserve">.</w:t>
      </w:r>
      <w:r>
        <w:rPr>
          <w:rFonts w:ascii="Times New Roman" w:hAnsi="Times New Roman" w:cs="Times New Roman"/>
          <w:sz w:val="24"/>
        </w:rPr>
      </w:r>
    </w:p>
    <w:p>
      <w:pPr>
        <w:pStyle w:val="3439"/>
        <w:ind w:firstLine="709"/>
        <w:rPr>
          <w:rFonts w:ascii="Times New Roman" w:hAnsi="Times New Roman" w:eastAsiaTheme="minorHAnsi"/>
          <w:sz w:val="24"/>
          <w:szCs w:val="22"/>
          <w:lang w:eastAsia="en-US"/>
        </w:rPr>
      </w:pPr>
      <w:r>
        <w:rPr>
          <w:rFonts w:ascii="Times New Roman" w:hAnsi="Times New Roman" w:eastAsiaTheme="minorHAnsi"/>
          <w:sz w:val="24"/>
          <w:szCs w:val="22"/>
          <w:lang w:eastAsia="en-US"/>
        </w:rPr>
        <w:t xml:space="preserve">Поверочный расчет позволяет рассчитать любую аварию на трубопроводах тепловой сети и источнике теплоснабжения. В результате расчета определяются расходы и потери напора в трубопроводах, напоры в </w:t>
      </w:r>
      <w:r>
        <w:rPr>
          <w:rFonts w:ascii="Times New Roman" w:hAnsi="Times New Roman" w:eastAsiaTheme="minorHAnsi"/>
          <w:sz w:val="24"/>
          <w:szCs w:val="22"/>
          <w:lang w:eastAsia="en-US"/>
        </w:rPr>
        <w:t xml:space="preserve">узлах сети, в том числе располагаемые напоры у потребителей, температура теплоносителя в узлах сети (при учете тепловых потерь), температуры внутреннего воздуха у потребителей, расходы и температуры воды на входе и выходе в каждую систему теплопотребления.</w:t>
      </w:r>
      <w:r>
        <w:rPr>
          <w:rFonts w:ascii="Times New Roman" w:hAnsi="Times New Roman" w:eastAsiaTheme="minorHAnsi"/>
          <w:sz w:val="24"/>
          <w:szCs w:val="22"/>
          <w:lang w:eastAsia="en-US"/>
        </w:rPr>
      </w:r>
    </w:p>
    <w:p>
      <w:pPr>
        <w:pStyle w:val="3439"/>
        <w:ind w:firstLine="0"/>
        <w:rPr>
          <w:rFonts w:ascii="Times New Roman" w:hAnsi="Times New Roman" w:eastAsiaTheme="minorHAnsi"/>
          <w:sz w:val="24"/>
          <w:szCs w:val="22"/>
          <w:lang w:eastAsia="en-US"/>
        </w:rPr>
      </w:pPr>
      <w:r>
        <w:rPr>
          <w:rFonts w:ascii="Times New Roman" w:hAnsi="Times New Roman" w:eastAsiaTheme="minorHAnsi"/>
          <w:sz w:val="24"/>
          <w:szCs w:val="22"/>
          <w:lang w:eastAsia="en-US"/>
        </w:rPr>
      </w:r>
      <w:r>
        <w:rPr>
          <w:rFonts w:ascii="Times New Roman" w:hAnsi="Times New Roman" w:eastAsiaTheme="minorHAnsi"/>
          <w:sz w:val="24"/>
          <w:szCs w:val="22"/>
          <w:lang w:eastAsia="en-US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Tahoma">
    <w:panose1 w:val="020B0604030504040204"/>
  </w:font>
  <w:font w:name="Segoe UI">
    <w:panose1 w:val="020B0502040204020203"/>
  </w:font>
  <w:font w:name="Microsoft YaHei">
    <w:panose1 w:val="020B0503020204020204"/>
  </w:font>
  <w:font w:name="Arial Narrow">
    <w:panose1 w:val="020B0606020202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56761393"/>
      <w:docPartObj>
        <w:docPartGallery w:val="Page Numbers (Bottom of Page)"/>
        <w:docPartUnique w:val="true"/>
      </w:docPartObj>
      <w:rPr/>
    </w:sdtPr>
    <w:sdtContent>
      <w:p>
        <w:pPr>
          <w:pStyle w:val="735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73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1192" w:hanging="654"/>
      </w:pPr>
    </w:lvl>
    <w:lvl w:ilvl="1">
      <w:start w:val="1"/>
      <w:numFmt w:val="decimal"/>
      <w:isLgl w:val="false"/>
      <w:suff w:val="tab"/>
      <w:lvlText w:val="%1.%2"/>
      <w:lvlJc w:val="left"/>
      <w:pPr>
        <w:ind w:left="1192" w:hanging="654"/>
      </w:pPr>
    </w:lvl>
    <w:lvl w:ilvl="2">
      <w:start w:val="1"/>
      <w:numFmt w:val="decimal"/>
      <w:isLgl w:val="false"/>
      <w:suff w:val="tab"/>
      <w:lvlText w:val="%1.%2.%3"/>
      <w:lvlJc w:val="left"/>
      <w:pPr>
        <w:ind w:left="1192" w:hanging="654"/>
      </w:pPr>
      <w:rPr>
        <w:rFonts w:ascii="Times New Roman" w:hAnsi="Times New Roman" w:cs="Times New Roman"/>
        <w:b w:val="0"/>
        <w:bCs w:val="0"/>
        <w:spacing w:val="-5"/>
        <w:sz w:val="24"/>
        <w:szCs w:val="24"/>
      </w:rPr>
    </w:lvl>
    <w:lvl w:ilvl="3">
      <w:start w:val="1"/>
      <w:numFmt w:val="bullet"/>
      <w:isLgl w:val="false"/>
      <w:suff w:val="tab"/>
      <w:lvlText w:val=""/>
      <w:lvlJc w:val="left"/>
      <w:pPr>
        <w:ind w:left="987" w:hanging="365"/>
      </w:pPr>
      <w:rPr>
        <w:rFonts w:ascii="Symbol" w:hAnsi="Symbol" w:cs="Symbol"/>
        <w:b w:val="0"/>
        <w:bCs w:val="0"/>
        <w:sz w:val="24"/>
        <w:szCs w:val="24"/>
      </w:rPr>
    </w:lvl>
    <w:lvl w:ilvl="4">
      <w:start w:val="1"/>
      <w:numFmt w:val="bullet"/>
      <w:isLgl w:val="false"/>
      <w:suff w:val="tab"/>
      <w:lvlText w:val=""/>
      <w:lvlJc w:val="left"/>
      <w:pPr>
        <w:ind w:left="1547" w:hanging="365"/>
      </w:pPr>
      <w:rPr>
        <w:rFonts w:ascii="Symbol" w:hAnsi="Symbol" w:cs="Symbol"/>
        <w:b w:val="0"/>
        <w:bCs w:val="0"/>
        <w:sz w:val="24"/>
        <w:szCs w:val="24"/>
      </w:rPr>
    </w:lvl>
    <w:lvl w:ilvl="5">
      <w:start w:val="1"/>
      <w:numFmt w:val="bullet"/>
      <w:isLgl w:val="false"/>
      <w:suff w:val="tab"/>
      <w:lvlText w:val="•"/>
      <w:lvlJc w:val="left"/>
      <w:pPr>
        <w:ind w:left="4568" w:hanging="365"/>
      </w:pPr>
    </w:lvl>
    <w:lvl w:ilvl="6">
      <w:start w:val="1"/>
      <w:numFmt w:val="bullet"/>
      <w:isLgl w:val="false"/>
      <w:suff w:val="tab"/>
      <w:lvlText w:val="•"/>
      <w:lvlJc w:val="left"/>
      <w:pPr>
        <w:ind w:left="5575" w:hanging="365"/>
      </w:pPr>
    </w:lvl>
    <w:lvl w:ilvl="7">
      <w:start w:val="1"/>
      <w:numFmt w:val="bullet"/>
      <w:isLgl w:val="false"/>
      <w:suff w:val="tab"/>
      <w:lvlText w:val="•"/>
      <w:lvlJc w:val="left"/>
      <w:pPr>
        <w:ind w:left="6582" w:hanging="365"/>
      </w:pPr>
    </w:lvl>
    <w:lvl w:ilvl="8">
      <w:start w:val="1"/>
      <w:numFmt w:val="bullet"/>
      <w:isLgl w:val="false"/>
      <w:suff w:val="tab"/>
      <w:lvlText w:val="•"/>
      <w:lvlJc w:val="left"/>
      <w:pPr>
        <w:ind w:left="7589" w:hanging="365"/>
      </w:pPr>
    </w:lvl>
  </w:abstractNum>
  <w:abstractNum w:abstractNumId="1">
    <w:multiLevelType w:val="hybridMultilevel"/>
    <w:lvl w:ilvl="0">
      <w:start w:val="5"/>
      <w:numFmt w:val="decimal"/>
      <w:pStyle w:val="3443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14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86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5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18" w:hanging="284"/>
        <w:tabs>
          <w:tab w:val="num" w:pos="1418" w:leader="none"/>
        </w:tabs>
      </w:pPr>
      <w:rPr>
        <w:rFonts w:hint="default" w:ascii="Arial Narrow" w:hAnsi="Arial Narrow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space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18" w:hanging="14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isLgl w:val="false"/>
      <w:suff w:val="tab"/>
      <w:lvlText w:val="•"/>
      <w:lvlJc w:val="left"/>
      <w:pPr>
        <w:ind w:left="1121" w:hanging="144"/>
      </w:pPr>
      <w:rPr>
        <w:rFonts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24" w:hanging="144"/>
      </w:pPr>
      <w:rPr>
        <w:rFonts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3127" w:hanging="144"/>
      </w:pPr>
      <w:rPr>
        <w:rFonts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4129" w:hanging="144"/>
      </w:pPr>
      <w:rPr>
        <w:rFonts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5132" w:hanging="144"/>
      </w:pPr>
      <w:rPr>
        <w:rFonts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6135" w:hanging="144"/>
      </w:pPr>
      <w:rPr>
        <w:rFonts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7138" w:hanging="144"/>
      </w:pPr>
      <w:rPr>
        <w:rFonts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8140" w:hanging="14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6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7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8">
    <w:abstractNumId w:val="7"/>
  </w:num>
  <w:num w:numId="9">
    <w:abstractNumId w:val="9"/>
  </w:num>
  <w:num w:numId="10">
    <w:abstractNumId w:val="9"/>
  </w:num>
  <w:num w:numId="11">
    <w:abstractNumId w:val="9"/>
  </w:num>
  <w:num w:numId="12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13">
    <w:abstractNumId w:val="9"/>
  </w:num>
  <w:num w:numId="14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15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16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17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18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19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20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21">
    <w:abstractNumId w:val="9"/>
  </w:num>
  <w:num w:numId="22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2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24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25">
    <w:abstractNumId w:val="5"/>
  </w:num>
  <w:num w:numId="26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</w:num>
  <w:num w:numId="27">
    <w:abstractNumId w:val="3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0"/>
    <w:link w:val="71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20"/>
    <w:link w:val="71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20"/>
    <w:link w:val="71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0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5"/>
    <w:next w:val="71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5"/>
    <w:next w:val="71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5"/>
    <w:next w:val="71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5"/>
    <w:next w:val="71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5"/>
    <w:next w:val="71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15"/>
    <w:next w:val="71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0"/>
    <w:link w:val="34"/>
    <w:uiPriority w:val="10"/>
    <w:rPr>
      <w:sz w:val="48"/>
      <w:szCs w:val="48"/>
    </w:rPr>
  </w:style>
  <w:style w:type="paragraph" w:styleId="36">
    <w:name w:val="Subtitle"/>
    <w:basedOn w:val="715"/>
    <w:next w:val="71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0"/>
    <w:link w:val="36"/>
    <w:uiPriority w:val="11"/>
    <w:rPr>
      <w:sz w:val="24"/>
      <w:szCs w:val="24"/>
    </w:rPr>
  </w:style>
  <w:style w:type="paragraph" w:styleId="38">
    <w:name w:val="Quote"/>
    <w:basedOn w:val="715"/>
    <w:next w:val="71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5"/>
    <w:next w:val="71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0"/>
    <w:link w:val="733"/>
    <w:uiPriority w:val="99"/>
  </w:style>
  <w:style w:type="character" w:styleId="45">
    <w:name w:val="Footer Char"/>
    <w:basedOn w:val="720"/>
    <w:link w:val="735"/>
    <w:uiPriority w:val="99"/>
  </w:style>
  <w:style w:type="paragraph" w:styleId="46">
    <w:name w:val="Caption"/>
    <w:basedOn w:val="715"/>
    <w:next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35"/>
    <w:uiPriority w:val="99"/>
  </w:style>
  <w:style w:type="table" w:styleId="49">
    <w:name w:val="Table Grid Light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1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0"/>
    <w:uiPriority w:val="99"/>
    <w:unhideWhenUsed/>
    <w:rPr>
      <w:vertAlign w:val="superscript"/>
    </w:rPr>
  </w:style>
  <w:style w:type="paragraph" w:styleId="178">
    <w:name w:val="endnote text"/>
    <w:basedOn w:val="71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0"/>
    <w:uiPriority w:val="99"/>
    <w:semiHidden/>
    <w:unhideWhenUsed/>
    <w:rPr>
      <w:vertAlign w:val="superscript"/>
    </w:rPr>
  </w:style>
  <w:style w:type="paragraph" w:styleId="191">
    <w:name w:val="table of figures"/>
    <w:basedOn w:val="715"/>
    <w:next w:val="715"/>
    <w:uiPriority w:val="99"/>
    <w:unhideWhenUsed/>
    <w:pPr>
      <w:spacing w:after="0" w:afterAutospacing="0"/>
    </w:pPr>
  </w:style>
  <w:style w:type="paragraph" w:styleId="715" w:default="1">
    <w:name w:val="Normal"/>
    <w:next w:val="728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716">
    <w:name w:val="Heading 1"/>
    <w:basedOn w:val="715"/>
    <w:next w:val="715"/>
    <w:link w:val="3398"/>
    <w:uiPriority w:val="1"/>
    <w:qFormat/>
    <w:pPr>
      <w:ind w:left="672"/>
      <w:spacing w:before="64"/>
      <w:widowControl w:val="off"/>
      <w:outlineLvl w:val="0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717">
    <w:name w:val="Heading 2"/>
    <w:basedOn w:val="715"/>
    <w:next w:val="715"/>
    <w:link w:val="2702"/>
    <w:uiPriority w:val="1"/>
    <w:unhideWhenUsed/>
    <w:qFormat/>
    <w:pPr>
      <w:ind w:left="692" w:hanging="8"/>
      <w:spacing w:before="69"/>
      <w:widowControl w:val="off"/>
      <w:outlineLvl w:val="1"/>
    </w:pPr>
    <w:rPr>
      <w:rFonts w:eastAsia="Times New Roman" w:cs="Times New Roman"/>
      <w:b/>
      <w:bCs/>
      <w:szCs w:val="24"/>
      <w:lang w:eastAsia="ru-RU"/>
    </w:rPr>
  </w:style>
  <w:style w:type="paragraph" w:styleId="718">
    <w:name w:val="Heading 3"/>
    <w:basedOn w:val="715"/>
    <w:next w:val="715"/>
    <w:link w:val="3257"/>
    <w:uiPriority w:val="1"/>
    <w:qFormat/>
    <w:pPr>
      <w:ind w:left="824"/>
      <w:spacing w:before="69"/>
      <w:widowControl w:val="off"/>
      <w:outlineLvl w:val="2"/>
    </w:pPr>
    <w:rPr>
      <w:rFonts w:cs="Times New Roman" w:eastAsiaTheme="minorEastAsia"/>
      <w:b/>
      <w:bCs/>
      <w:szCs w:val="24"/>
      <w:lang w:eastAsia="ru-RU"/>
    </w:rPr>
  </w:style>
  <w:style w:type="paragraph" w:styleId="719">
    <w:name w:val="Heading 4"/>
    <w:basedOn w:val="715"/>
    <w:next w:val="715"/>
    <w:link w:val="3482"/>
    <w:uiPriority w:val="9"/>
    <w:unhideWhenUsed/>
    <w:qFormat/>
    <w:pPr>
      <w:keepLines/>
      <w:keepNext/>
      <w:spacing w:before="4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paragraph" w:styleId="723">
    <w:name w:val="List Paragraph"/>
    <w:basedOn w:val="715"/>
    <w:link w:val="737"/>
    <w:uiPriority w:val="34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724" w:customStyle="1">
    <w:name w:val="Абзац списка Знак"/>
    <w:uiPriority w:val="34"/>
    <w:qFormat/>
  </w:style>
  <w:style w:type="character" w:styleId="725">
    <w:name w:val="Hyperlink"/>
    <w:basedOn w:val="720"/>
    <w:link w:val="3350"/>
    <w:uiPriority w:val="99"/>
    <w:unhideWhenUsed/>
    <w:rPr>
      <w:color w:val="0000ff"/>
      <w:u w:val="single"/>
    </w:rPr>
  </w:style>
  <w:style w:type="character" w:styleId="726" w:customStyle="1">
    <w:name w:val="Основной текст (16)_"/>
    <w:link w:val="727"/>
    <w:rPr>
      <w:b/>
      <w:bCs/>
      <w:spacing w:val="-10"/>
      <w:sz w:val="18"/>
      <w:szCs w:val="18"/>
      <w:shd w:val="clear" w:color="auto" w:fill="ffffff"/>
    </w:rPr>
  </w:style>
  <w:style w:type="paragraph" w:styleId="727" w:customStyle="1">
    <w:name w:val="Основной текст (16)"/>
    <w:basedOn w:val="715"/>
    <w:link w:val="726"/>
    <w:pPr>
      <w:ind w:hanging="100"/>
      <w:jc w:val="both"/>
      <w:spacing w:after="60" w:line="240" w:lineRule="atLeast"/>
      <w:shd w:val="clear" w:color="auto" w:fill="ffffff"/>
    </w:pPr>
    <w:rPr>
      <w:b/>
      <w:bCs/>
      <w:spacing w:val="-10"/>
      <w:sz w:val="18"/>
      <w:szCs w:val="18"/>
    </w:rPr>
  </w:style>
  <w:style w:type="paragraph" w:styleId="728">
    <w:name w:val="No Spacing"/>
    <w:link w:val="3486"/>
    <w:uiPriority w:val="1"/>
    <w:qFormat/>
    <w:pPr>
      <w:spacing w:after="0" w:line="240" w:lineRule="auto"/>
    </w:pPr>
    <w:rPr>
      <w:rFonts w:ascii="Times New Roman" w:hAnsi="Times New Roman"/>
      <w:sz w:val="24"/>
    </w:rPr>
  </w:style>
  <w:style w:type="table" w:styleId="729">
    <w:name w:val="Table Grid"/>
    <w:basedOn w:val="3372"/>
    <w:link w:val="3434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30" w:customStyle="1">
    <w:name w:val="Заголовок 2 Знак"/>
    <w:basedOn w:val="720"/>
    <w:uiPriority w:val="1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731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32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733">
    <w:name w:val="Header"/>
    <w:basedOn w:val="715"/>
    <w:link w:val="2657"/>
    <w:uiPriority w:val="99"/>
    <w:unhideWhenUsed/>
    <w:pPr>
      <w:widowControl w:val="off"/>
      <w:tabs>
        <w:tab w:val="center" w:pos="4677" w:leader="none"/>
        <w:tab w:val="right" w:pos="9355" w:leader="none"/>
      </w:tabs>
    </w:pPr>
    <w:rPr>
      <w:rFonts w:cs="Times New Roman" w:eastAsiaTheme="minorEastAsia"/>
      <w:szCs w:val="24"/>
      <w:lang w:eastAsia="ru-RU"/>
    </w:rPr>
  </w:style>
  <w:style w:type="character" w:styleId="734" w:customStyle="1">
    <w:name w:val="Верхний колонтитул Знак"/>
    <w:basedOn w:val="720"/>
    <w:uiPriority w:val="99"/>
  </w:style>
  <w:style w:type="paragraph" w:styleId="735">
    <w:name w:val="Footer"/>
    <w:basedOn w:val="715"/>
    <w:link w:val="3451"/>
    <w:uiPriority w:val="99"/>
    <w:unhideWhenUsed/>
    <w:pPr>
      <w:widowControl w:val="off"/>
      <w:tabs>
        <w:tab w:val="center" w:pos="4677" w:leader="none"/>
        <w:tab w:val="right" w:pos="9355" w:leader="none"/>
      </w:tabs>
    </w:pPr>
    <w:rPr>
      <w:rFonts w:cs="Times New Roman" w:eastAsiaTheme="minorEastAsia"/>
      <w:szCs w:val="24"/>
      <w:lang w:eastAsia="ru-RU"/>
    </w:rPr>
  </w:style>
  <w:style w:type="character" w:styleId="736" w:customStyle="1">
    <w:name w:val="Нижний колонтитул Знак"/>
    <w:basedOn w:val="720"/>
    <w:uiPriority w:val="99"/>
  </w:style>
  <w:style w:type="paragraph" w:styleId="737">
    <w:name w:val="Normal (Web)"/>
    <w:basedOn w:val="715"/>
    <w:link w:val="723"/>
    <w:uiPriority w:val="99"/>
    <w:unhideWhenUsed/>
    <w:pPr>
      <w:ind w:firstLine="709"/>
    </w:pPr>
    <w:rPr>
      <w:rFonts w:cs="Times New Roman"/>
      <w:szCs w:val="24"/>
    </w:rPr>
  </w:style>
  <w:style w:type="character" w:styleId="73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3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4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4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4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4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4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4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4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4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4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4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5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5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5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5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5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5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5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5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5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5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6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6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6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6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6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6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6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6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6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6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7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7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7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7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7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7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7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7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7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7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8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8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8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8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8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8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8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8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8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8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9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9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9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9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9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9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9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9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9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79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0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0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0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0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0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0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0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0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0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0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1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1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12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1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1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1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1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1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1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19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2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2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22" w:customStyle="1">
    <w:name w:val="Default"/>
    <w:qFormat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23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824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82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2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27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2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2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3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31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32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3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3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3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36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837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83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3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4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4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42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843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844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4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4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4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4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49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85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5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5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5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54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5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5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5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5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5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6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6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6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6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6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6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6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6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7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7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7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7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7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7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7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7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7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7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8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8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8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8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8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8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8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8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8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8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9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9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9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9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9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9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9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9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9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9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0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0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0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0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0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0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0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0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1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1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1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1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1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1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1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1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1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1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2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2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2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23">
    <w:name w:val="annotation reference"/>
    <w:basedOn w:val="720"/>
    <w:link w:val="3781"/>
    <w:uiPriority w:val="99"/>
    <w:semiHidden/>
    <w:unhideWhenUsed/>
    <w:rPr>
      <w:sz w:val="16"/>
      <w:szCs w:val="16"/>
    </w:rPr>
  </w:style>
  <w:style w:type="paragraph" w:styleId="924">
    <w:name w:val="annotation text"/>
    <w:basedOn w:val="715"/>
    <w:link w:val="3273"/>
    <w:uiPriority w:val="99"/>
    <w:unhideWhenUsed/>
    <w:pPr>
      <w:spacing w:after="160"/>
    </w:pPr>
    <w:rPr>
      <w:rFonts w:asciiTheme="minorHAnsi" w:hAnsiTheme="minorHAnsi"/>
      <w:sz w:val="20"/>
      <w:szCs w:val="20"/>
    </w:rPr>
  </w:style>
  <w:style w:type="character" w:styleId="925" w:customStyle="1">
    <w:name w:val="Текст примечания Знак"/>
    <w:basedOn w:val="720"/>
    <w:uiPriority w:val="99"/>
    <w:rPr>
      <w:sz w:val="20"/>
      <w:szCs w:val="20"/>
    </w:rPr>
  </w:style>
  <w:style w:type="character" w:styleId="926" w:customStyle="1">
    <w:name w:val="Заголовок 2 Знак7"/>
    <w:basedOn w:val="720"/>
    <w:uiPriority w:val="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27" w:customStyle="1">
    <w:name w:val="Без интервала Знак"/>
    <w:uiPriority w:val="1"/>
    <w:rPr>
      <w:rFonts w:ascii="Times New Roman" w:hAnsi="Times New Roman"/>
      <w:sz w:val="24"/>
    </w:rPr>
  </w:style>
  <w:style w:type="paragraph" w:styleId="928">
    <w:name w:val="Balloon Text"/>
    <w:basedOn w:val="715"/>
    <w:link w:val="3272"/>
    <w:uiPriority w:val="99"/>
    <w:unhideWhenUsed/>
    <w:rPr>
      <w:rFonts w:ascii="Segoe UI" w:hAnsi="Segoe UI" w:cs="Segoe UI"/>
      <w:sz w:val="18"/>
      <w:szCs w:val="18"/>
    </w:rPr>
  </w:style>
  <w:style w:type="character" w:styleId="929" w:customStyle="1">
    <w:name w:val="Текст выноски Знак"/>
    <w:basedOn w:val="720"/>
    <w:uiPriority w:val="99"/>
    <w:rPr>
      <w:rFonts w:ascii="Segoe UI" w:hAnsi="Segoe UI" w:cs="Segoe UI"/>
      <w:sz w:val="18"/>
      <w:szCs w:val="18"/>
    </w:rPr>
  </w:style>
  <w:style w:type="character" w:styleId="93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3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3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3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3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93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36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937" w:customStyle="1">
    <w:name w:val="Текст примечания Знак"/>
    <w:basedOn w:val="720"/>
    <w:uiPriority w:val="99"/>
    <w:semiHidden/>
    <w:rPr>
      <w:sz w:val="20"/>
      <w:szCs w:val="20"/>
    </w:rPr>
  </w:style>
  <w:style w:type="character" w:styleId="93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3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4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94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4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4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4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4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46">
    <w:name w:val="Body Text"/>
    <w:basedOn w:val="715"/>
    <w:link w:val="3324"/>
    <w:uiPriority w:val="1"/>
    <w:unhideWhenUsed/>
    <w:qFormat/>
    <w:pPr>
      <w:ind w:left="116"/>
      <w:widowControl w:val="off"/>
    </w:pPr>
    <w:rPr>
      <w:rFonts w:cs="Times New Roman" w:eastAsiaTheme="minorEastAsia"/>
      <w:szCs w:val="24"/>
      <w:lang w:eastAsia="ru-RU"/>
    </w:rPr>
  </w:style>
  <w:style w:type="character" w:styleId="947" w:customStyle="1">
    <w:name w:val="Основной текст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94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94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5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5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5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5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5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5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5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5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5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5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6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6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6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6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6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6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6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6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7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7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7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7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7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7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7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7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7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7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8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8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8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8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8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8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8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8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8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8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9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9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9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9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9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9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9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9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9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9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0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0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0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0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0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0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0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0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1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1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1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1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1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1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1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1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1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1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2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21" w:customStyle="1">
    <w:name w:val="Основной текст Знак"/>
    <w:basedOn w:val="720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02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02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2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25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26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27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028" w:customStyle="1">
    <w:name w:val="Основной текст Знак2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02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3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31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32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3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3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35" w:customStyle="1">
    <w:name w:val="Основной текст Знак"/>
    <w:basedOn w:val="720"/>
    <w:link w:val="1119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03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037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38" w:customStyle="1">
    <w:name w:val="Основной текст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3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4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4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042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043" w:customStyle="1">
    <w:name w:val="Абзац списка Знак"/>
    <w:basedOn w:val="720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044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04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46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047" w:customStyle="1">
    <w:name w:val="Текст примечания Знак1"/>
    <w:basedOn w:val="72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48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049" w:customStyle="1">
    <w:name w:val="Текст примечания Знак2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50" w:customStyle="1">
    <w:name w:val="Текст примечания Знак3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51" w:customStyle="1">
    <w:name w:val="Без интервала Знак2"/>
    <w:uiPriority w:val="1"/>
    <w:rPr>
      <w:rFonts w:ascii="Times New Roman" w:hAnsi="Times New Roman"/>
      <w:sz w:val="24"/>
    </w:rPr>
  </w:style>
  <w:style w:type="character" w:styleId="105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5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5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05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56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057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58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05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6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6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062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6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64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065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66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06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6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6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070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07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7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7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074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7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7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7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7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079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8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8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8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8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084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8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86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08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8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8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090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9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9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09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9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095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96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097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098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099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0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10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10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103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104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0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06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07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108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109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10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111" w:customStyle="1">
    <w:name w:val="Текст примечания Знак3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12" w:customStyle="1">
    <w:name w:val="Без интервала Знак2"/>
    <w:uiPriority w:val="1"/>
    <w:rPr>
      <w:rFonts w:ascii="Times New Roman" w:hAnsi="Times New Roman"/>
      <w:sz w:val="24"/>
    </w:rPr>
  </w:style>
  <w:style w:type="character" w:styleId="111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11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11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116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17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18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119" w:customStyle="1">
    <w:name w:val="Текст выноски Знак"/>
    <w:basedOn w:val="720"/>
    <w:link w:val="1035"/>
    <w:uiPriority w:val="99"/>
    <w:semiHidden/>
    <w:rPr>
      <w:rFonts w:ascii="Segoe UI" w:hAnsi="Segoe UI" w:cs="Segoe UI"/>
      <w:sz w:val="18"/>
      <w:szCs w:val="18"/>
    </w:rPr>
  </w:style>
  <w:style w:type="character" w:styleId="1120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121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2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12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124" w:customStyle="1">
    <w:name w:val="Default"/>
    <w:qFormat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12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26" w:customStyle="1">
    <w:name w:val="Заголовок 2 Знак8"/>
    <w:basedOn w:val="720"/>
    <w:uiPriority w:val="9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1127" w:customStyle="1">
    <w:name w:val="Цветовое выделение"/>
    <w:uiPriority w:val="99"/>
    <w:rPr>
      <w:b/>
      <w:color w:val="26282f"/>
    </w:rPr>
  </w:style>
  <w:style w:type="character" w:styleId="1128" w:customStyle="1">
    <w:name w:val="Текст примечания Знак1"/>
    <w:basedOn w:val="72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29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130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131" w:customStyle="1">
    <w:name w:val="Текст выноски Знак"/>
    <w:basedOn w:val="720"/>
    <w:link w:val="3452"/>
    <w:uiPriority w:val="99"/>
    <w:semiHidden/>
    <w:rPr>
      <w:rFonts w:ascii="Segoe UI" w:hAnsi="Segoe UI" w:cs="Segoe UI"/>
      <w:sz w:val="18"/>
      <w:szCs w:val="18"/>
    </w:rPr>
  </w:style>
  <w:style w:type="character" w:styleId="1132" w:customStyle="1">
    <w:name w:val="Без интервала Знак2"/>
    <w:uiPriority w:val="1"/>
    <w:rPr>
      <w:rFonts w:ascii="Times New Roman" w:hAnsi="Times New Roman"/>
      <w:sz w:val="24"/>
    </w:rPr>
  </w:style>
  <w:style w:type="character" w:styleId="113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13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135" w:customStyle="1">
    <w:name w:val="Default"/>
    <w:qFormat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136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37" w:customStyle="1">
    <w:name w:val="Заголовок 2 Знак8"/>
    <w:basedOn w:val="720"/>
    <w:uiPriority w:val="9"/>
    <w:semiHidden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1138" w:customStyle="1">
    <w:name w:val="Цветовое выделение"/>
    <w:uiPriority w:val="99"/>
    <w:rPr>
      <w:b/>
      <w:color w:val="26282f"/>
    </w:rPr>
  </w:style>
  <w:style w:type="character" w:styleId="1139" w:customStyle="1">
    <w:name w:val="Текст примечания Знак1"/>
    <w:basedOn w:val="72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40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141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142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143" w:customStyle="1">
    <w:name w:val="Без интервала Знак2"/>
    <w:uiPriority w:val="1"/>
    <w:rPr>
      <w:rFonts w:ascii="Times New Roman" w:hAnsi="Times New Roman"/>
      <w:sz w:val="24"/>
    </w:rPr>
  </w:style>
  <w:style w:type="character" w:styleId="1144" w:customStyle="1">
    <w:name w:val="Основной текст Знак"/>
    <w:basedOn w:val="720"/>
    <w:uiPriority w:val="1"/>
    <w:rPr>
      <w:rFonts w:ascii="Times New Roman" w:hAnsi="Times New Roman" w:eastAsia="Times New Roman"/>
      <w:sz w:val="24"/>
      <w:szCs w:val="24"/>
      <w:lang w:val="en-US"/>
    </w:rPr>
  </w:style>
  <w:style w:type="character" w:styleId="1145" w:customStyle="1">
    <w:name w:val="Текст примечания Знак2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46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character" w:styleId="114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14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149" w:customStyle="1">
    <w:name w:val="Default"/>
    <w:qFormat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15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51" w:customStyle="1">
    <w:name w:val="Заголовок 2 Знак8"/>
    <w:basedOn w:val="720"/>
    <w:uiPriority w:val="9"/>
    <w:semiHidden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1152" w:customStyle="1">
    <w:name w:val="Цветовое выделение"/>
    <w:uiPriority w:val="99"/>
    <w:rPr>
      <w:b/>
      <w:color w:val="26282f"/>
    </w:rPr>
  </w:style>
  <w:style w:type="character" w:styleId="1153" w:customStyle="1">
    <w:name w:val="Текст примечания Знак1"/>
    <w:basedOn w:val="72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54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155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156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157" w:customStyle="1">
    <w:name w:val="Без интервала Знак2"/>
    <w:uiPriority w:val="1"/>
    <w:rPr>
      <w:rFonts w:ascii="Times New Roman" w:hAnsi="Times New Roman"/>
      <w:sz w:val="24"/>
    </w:rPr>
  </w:style>
  <w:style w:type="character" w:styleId="1158" w:customStyle="1">
    <w:name w:val="Основной текст Знак"/>
    <w:basedOn w:val="720"/>
    <w:uiPriority w:val="1"/>
    <w:rPr>
      <w:rFonts w:ascii="Times New Roman" w:hAnsi="Times New Roman" w:eastAsia="Times New Roman"/>
      <w:sz w:val="24"/>
      <w:szCs w:val="24"/>
      <w:lang w:val="en-US"/>
    </w:rPr>
  </w:style>
  <w:style w:type="character" w:styleId="1159" w:customStyle="1">
    <w:name w:val="Текст примечания Знак2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60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character" w:styleId="11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1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163" w:customStyle="1">
    <w:name w:val="Default"/>
    <w:qFormat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164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65" w:customStyle="1">
    <w:name w:val="Заголовок 2 Знак8"/>
    <w:basedOn w:val="720"/>
    <w:uiPriority w:val="9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1166" w:customStyle="1">
    <w:name w:val="Цветовое выделение"/>
    <w:uiPriority w:val="99"/>
    <w:rPr>
      <w:b/>
      <w:color w:val="26282f"/>
    </w:rPr>
  </w:style>
  <w:style w:type="character" w:styleId="1167" w:customStyle="1">
    <w:name w:val="Текст примечания Знак1"/>
    <w:basedOn w:val="72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68" w:customStyle="1">
    <w:name w:val="Текст примечания Знак"/>
    <w:basedOn w:val="720"/>
    <w:link w:val="1886"/>
    <w:uiPriority w:val="99"/>
    <w:semiHidden/>
    <w:rPr>
      <w:rFonts w:ascii="Times New Roman" w:hAnsi="Times New Roman"/>
      <w:sz w:val="20"/>
      <w:szCs w:val="20"/>
    </w:rPr>
  </w:style>
  <w:style w:type="character" w:styleId="1169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170" w:customStyle="1">
    <w:name w:val="Текст выноски Знак"/>
    <w:basedOn w:val="720"/>
    <w:link w:val="1925"/>
    <w:uiPriority w:val="99"/>
    <w:semiHidden/>
    <w:rPr>
      <w:rFonts w:ascii="Segoe UI" w:hAnsi="Segoe UI" w:cs="Segoe UI"/>
      <w:sz w:val="18"/>
      <w:szCs w:val="18"/>
    </w:rPr>
  </w:style>
  <w:style w:type="character" w:styleId="1171" w:customStyle="1">
    <w:name w:val="Без интервала Знак2"/>
    <w:uiPriority w:val="1"/>
    <w:rPr>
      <w:rFonts w:ascii="Times New Roman" w:hAnsi="Times New Roman"/>
      <w:sz w:val="24"/>
    </w:rPr>
  </w:style>
  <w:style w:type="character" w:styleId="1172" w:customStyle="1">
    <w:name w:val="Основной текст Знак"/>
    <w:basedOn w:val="720"/>
    <w:link w:val="1830"/>
    <w:uiPriority w:val="1"/>
    <w:rPr>
      <w:rFonts w:ascii="Times New Roman" w:hAnsi="Times New Roman" w:eastAsia="Times New Roman"/>
      <w:sz w:val="24"/>
      <w:szCs w:val="24"/>
      <w:lang w:val="en-US"/>
    </w:rPr>
  </w:style>
  <w:style w:type="character" w:styleId="1173" w:customStyle="1">
    <w:name w:val="Текст примечания Знак2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74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character" w:styleId="117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17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17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178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179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18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81" w:customStyle="1">
    <w:name w:val="Основной текст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table" w:styleId="1182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183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184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8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18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18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188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189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19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91" w:customStyle="1">
    <w:name w:val="Основной текст Знак3"/>
    <w:basedOn w:val="720"/>
    <w:link w:val="1763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table" w:styleId="1192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193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194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95" w:customStyle="1">
    <w:name w:val="Абзац списка Знак"/>
    <w:uiPriority w:val="34"/>
  </w:style>
  <w:style w:type="character" w:styleId="1196" w:customStyle="1">
    <w:name w:val="Заголовок 2 Знак"/>
    <w:basedOn w:val="720"/>
    <w:uiPriority w:val="9"/>
    <w:semiHidden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1197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9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199" w:customStyle="1">
    <w:name w:val="Верхний колонтитул Знак"/>
    <w:basedOn w:val="720"/>
    <w:uiPriority w:val="99"/>
  </w:style>
  <w:style w:type="character" w:styleId="1200" w:customStyle="1">
    <w:name w:val="Нижний колонтитул Знак"/>
    <w:basedOn w:val="720"/>
    <w:uiPriority w:val="99"/>
  </w:style>
  <w:style w:type="character" w:styleId="120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0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0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0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0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0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0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1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1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1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1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1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1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1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1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1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1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2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2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2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2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2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2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2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2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2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2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3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3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3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3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3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3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3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3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3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3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4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4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4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4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4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4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4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4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4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4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5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5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5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5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5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5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5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5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5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5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6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6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6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6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6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6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6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69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7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7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7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7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7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7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76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7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7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27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280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1281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128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8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84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8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8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8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88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89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9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9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29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293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1294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129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29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29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29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299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1300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130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0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0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0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0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06" w:customStyle="1">
    <w:name w:val="Абзац списка Знак"/>
    <w:basedOn w:val="720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3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0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1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1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1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1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1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1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1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1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1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1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2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2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2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2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2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2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2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2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2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2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3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3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3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3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3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3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3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3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3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3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4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4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4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4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4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4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4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4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4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4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5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5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5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5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5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5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5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5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5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5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6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6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6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6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6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6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6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6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6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6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7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7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7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7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7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7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7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7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7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7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8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8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8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8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8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8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8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8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8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8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9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9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9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9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9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9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9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9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39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39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0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0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0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0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0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0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0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0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0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0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1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1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1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1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1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1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1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1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1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1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2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2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2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2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2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2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2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2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2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2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3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3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3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3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3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3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3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3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43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439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4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4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44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44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4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4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4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4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48" w:customStyle="1">
    <w:name w:val="Основной текст Знак"/>
    <w:basedOn w:val="720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44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45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5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5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5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5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5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5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5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5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5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6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6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6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6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6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6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6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6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6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6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7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7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7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7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7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7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7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7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7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7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8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8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8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8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8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8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8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8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8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8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9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9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9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9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9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9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9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9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49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49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0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0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0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0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0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0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0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0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0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0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1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1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1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1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1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1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16" w:customStyle="1">
    <w:name w:val="Основной текст Знак"/>
    <w:basedOn w:val="720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51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51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1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20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2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22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523" w:customStyle="1">
    <w:name w:val="Основной текст Знак2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52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2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26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27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2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2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30" w:customStyle="1">
    <w:name w:val="Основной текст Знак"/>
    <w:basedOn w:val="720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53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532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33" w:customStyle="1">
    <w:name w:val="Основной текст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3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3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53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537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538" w:customStyle="1">
    <w:name w:val="Абзац списка Знак"/>
    <w:basedOn w:val="720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539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54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41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542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543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54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4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46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547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54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4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5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5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5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5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5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5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5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5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5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5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6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6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6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6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6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6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6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6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7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7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7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7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7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7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7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7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7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7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8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8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8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8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8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8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8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8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8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8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9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9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9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9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9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9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9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9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59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59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0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0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0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0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0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0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0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0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1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61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612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13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614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615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61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1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61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619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2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21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622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623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62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2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62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627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62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2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63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631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32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3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3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63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636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37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3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3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64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641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42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4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4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64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646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47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4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4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65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651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52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53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654" w:customStyle="1">
    <w:name w:val="Основной текст Знак3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655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5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5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65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659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660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6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62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63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66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6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66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667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68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69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67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7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67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67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7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7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76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77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78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7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68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681" w:customStyle="1">
    <w:name w:val="Заголовок 1 Знак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1682" w:customStyle="1">
    <w:name w:val="Заголовок 2 Знак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1683" w:customStyle="1">
    <w:name w:val="Заголовок 3 Знак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1684" w:customStyle="1">
    <w:name w:val="Нет списка1"/>
    <w:next w:val="722"/>
    <w:uiPriority w:val="99"/>
    <w:semiHidden/>
    <w:unhideWhenUsed/>
  </w:style>
  <w:style w:type="character" w:styleId="1685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686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687" w:customStyle="1">
    <w:name w:val="Верхний колонтитул Знак"/>
    <w:basedOn w:val="720"/>
    <w:link w:val="3036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688" w:customStyle="1">
    <w:name w:val="Нижний колонтитул Знак1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689">
    <w:name w:val="TOC Heading"/>
    <w:basedOn w:val="716"/>
    <w:next w:val="715"/>
    <w:link w:val="3771"/>
    <w:uiPriority w:val="39"/>
    <w:unhideWhenUsed/>
    <w:qFormat/>
    <w:pPr>
      <w:ind w:left="0"/>
      <w:keepLines/>
      <w:keepNext/>
      <w:spacing w:before="240" w:line="259" w:lineRule="auto"/>
      <w:widowControl/>
      <w:outlineLvl w:val="9"/>
    </w:pPr>
    <w:rPr>
      <w:rFonts w:asciiTheme="majorHAnsi" w:hAnsiTheme="majorHAnsi" w:eastAsiaTheme="majorEastAsia" w:cstheme="majorBidi"/>
      <w:b w:val="0"/>
      <w:bCs w:val="0"/>
      <w:color w:val="2e74b5" w:themeColor="accent1" w:themeShade="BF"/>
    </w:rPr>
  </w:style>
  <w:style w:type="paragraph" w:styleId="1690">
    <w:name w:val="toc 1"/>
    <w:basedOn w:val="715"/>
    <w:next w:val="715"/>
    <w:uiPriority w:val="39"/>
    <w:unhideWhenUsed/>
    <w:pPr>
      <w:spacing w:after="100" w:line="259" w:lineRule="auto"/>
    </w:pPr>
    <w:rPr>
      <w:rFonts w:asciiTheme="minorHAnsi" w:hAnsiTheme="minorHAnsi"/>
      <w:sz w:val="22"/>
    </w:rPr>
  </w:style>
  <w:style w:type="paragraph" w:styleId="1691">
    <w:name w:val="toc 2"/>
    <w:basedOn w:val="715"/>
    <w:next w:val="715"/>
    <w:uiPriority w:val="39"/>
    <w:unhideWhenUsed/>
    <w:pPr>
      <w:ind w:left="220"/>
      <w:spacing w:after="100" w:line="259" w:lineRule="auto"/>
    </w:pPr>
    <w:rPr>
      <w:rFonts w:asciiTheme="minorHAnsi" w:hAnsiTheme="minorHAnsi"/>
      <w:sz w:val="22"/>
    </w:rPr>
  </w:style>
  <w:style w:type="paragraph" w:styleId="1692">
    <w:name w:val="toc 3"/>
    <w:basedOn w:val="715"/>
    <w:next w:val="715"/>
    <w:uiPriority w:val="39"/>
    <w:unhideWhenUsed/>
    <w:pPr>
      <w:ind w:left="440"/>
      <w:spacing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693">
    <w:name w:val="toc 4"/>
    <w:basedOn w:val="715"/>
    <w:next w:val="715"/>
    <w:uiPriority w:val="39"/>
    <w:unhideWhenUsed/>
    <w:pPr>
      <w:ind w:left="660"/>
      <w:spacing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694">
    <w:name w:val="toc 5"/>
    <w:basedOn w:val="715"/>
    <w:next w:val="715"/>
    <w:uiPriority w:val="39"/>
    <w:unhideWhenUsed/>
    <w:pPr>
      <w:ind w:left="880"/>
      <w:spacing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695">
    <w:name w:val="toc 6"/>
    <w:basedOn w:val="715"/>
    <w:next w:val="715"/>
    <w:uiPriority w:val="39"/>
    <w:unhideWhenUsed/>
    <w:pPr>
      <w:ind w:left="1100"/>
      <w:spacing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696">
    <w:name w:val="toc 7"/>
    <w:basedOn w:val="715"/>
    <w:next w:val="715"/>
    <w:uiPriority w:val="39"/>
    <w:unhideWhenUsed/>
    <w:pPr>
      <w:ind w:left="1320"/>
      <w:spacing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697">
    <w:name w:val="toc 8"/>
    <w:basedOn w:val="715"/>
    <w:next w:val="715"/>
    <w:uiPriority w:val="39"/>
    <w:unhideWhenUsed/>
    <w:pPr>
      <w:ind w:left="1540"/>
      <w:spacing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698">
    <w:name w:val="toc 9"/>
    <w:basedOn w:val="715"/>
    <w:next w:val="715"/>
    <w:uiPriority w:val="39"/>
    <w:unhideWhenUsed/>
    <w:pPr>
      <w:ind w:left="1760"/>
      <w:spacing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699" w:customStyle="1">
    <w:name w:val="Заголовок 2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1700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table" w:styleId="1701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702" w:customStyle="1">
    <w:name w:val="Сетка таблицы1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703" w:customStyle="1">
    <w:name w:val="Оглавление 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1704" w:customStyle="1">
    <w:name w:val="Оглавление 2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1705" w:customStyle="1">
    <w:name w:val="Оглавление 3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1706" w:customStyle="1">
    <w:name w:val="Заголовок 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1707" w:customStyle="1">
    <w:name w:val="Заголовок 3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1708" w:customStyle="1">
    <w:name w:val="Текст выноски Знак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709" w:customStyle="1">
    <w:name w:val="Текст примечания Знак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710">
    <w:name w:val="annotation subject"/>
    <w:basedOn w:val="924"/>
    <w:next w:val="924"/>
    <w:link w:val="3274"/>
    <w:uiPriority w:val="99"/>
    <w:semiHidden/>
    <w:unhideWhenUsed/>
    <w:rPr>
      <w:b/>
      <w:bCs/>
    </w:rPr>
  </w:style>
  <w:style w:type="character" w:styleId="1711" w:customStyle="1">
    <w:name w:val="Тема примечания Знак"/>
    <w:basedOn w:val="327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1712">
    <w:name w:val="FollowedHyperlink"/>
    <w:basedOn w:val="720"/>
    <w:uiPriority w:val="99"/>
    <w:semiHidden/>
    <w:unhideWhenUsed/>
    <w:rPr>
      <w:color w:val="800080"/>
      <w:u w:val="single"/>
    </w:rPr>
  </w:style>
  <w:style w:type="paragraph" w:styleId="1713" w:customStyle="1">
    <w:name w:val="xl6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1714" w:customStyle="1">
    <w:name w:val="xl6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15" w:customStyle="1">
    <w:name w:val="xl6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16" w:customStyle="1">
    <w:name w:val="xl6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17" w:customStyle="1">
    <w:name w:val="xl6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18" w:customStyle="1">
    <w:name w:val="xl7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19" w:customStyle="1">
    <w:name w:val="xl7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1720" w:customStyle="1">
    <w:name w:val="xl7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1721" w:customStyle="1">
    <w:name w:val="xl7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1722" w:customStyle="1">
    <w:name w:val="xl7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1723" w:customStyle="1">
    <w:name w:val="xl7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1724" w:customStyle="1">
    <w:name w:val="xl7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25" w:customStyle="1">
    <w:name w:val="xl7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1726" w:customStyle="1">
    <w:name w:val="xl7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1727" w:customStyle="1">
    <w:name w:val="Заголовок 1 Знак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1728" w:customStyle="1">
    <w:name w:val="Заголовок 2 Знак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1729" w:customStyle="1">
    <w:name w:val="Заголовок 3 Знак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1730" w:customStyle="1">
    <w:name w:val="Нет списка1"/>
    <w:next w:val="722"/>
    <w:uiPriority w:val="99"/>
    <w:semiHidden/>
    <w:unhideWhenUsed/>
  </w:style>
  <w:style w:type="character" w:styleId="1731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732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733" w:customStyle="1">
    <w:name w:val="Верхний колонтитул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734" w:customStyle="1">
    <w:name w:val="Нижний колонтитул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735" w:customStyle="1">
    <w:name w:val="Заголовок 2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1736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table" w:styleId="1737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738" w:customStyle="1">
    <w:name w:val="Сетка таблицы1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739" w:customStyle="1">
    <w:name w:val="Оглавление 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1740" w:customStyle="1">
    <w:name w:val="Оглавление 2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1741" w:customStyle="1">
    <w:name w:val="Оглавление 3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1742" w:customStyle="1">
    <w:name w:val="Заголовок 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1743" w:customStyle="1">
    <w:name w:val="Заголовок 3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1744" w:customStyle="1">
    <w:name w:val="Текст выноски Знак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745" w:customStyle="1">
    <w:name w:val="Текст примечания Знак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746" w:customStyle="1">
    <w:name w:val="Тема примечания Знак"/>
    <w:basedOn w:val="323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747" w:customStyle="1">
    <w:name w:val="xl6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1748" w:customStyle="1">
    <w:name w:val="xl6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49" w:customStyle="1">
    <w:name w:val="xl6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50" w:customStyle="1">
    <w:name w:val="xl6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51" w:customStyle="1">
    <w:name w:val="xl6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52" w:customStyle="1">
    <w:name w:val="xl7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53" w:customStyle="1">
    <w:name w:val="xl7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1754" w:customStyle="1">
    <w:name w:val="xl7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1755" w:customStyle="1">
    <w:name w:val="xl7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1756" w:customStyle="1">
    <w:name w:val="xl7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1757" w:customStyle="1">
    <w:name w:val="xl7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1758" w:customStyle="1">
    <w:name w:val="xl7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59" w:customStyle="1">
    <w:name w:val="xl7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1760" w:customStyle="1">
    <w:name w:val="xl7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1761" w:customStyle="1">
    <w:name w:val="Заголовок 1 Знак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1762" w:customStyle="1">
    <w:name w:val="Заголовок 2 Знак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1763" w:customStyle="1">
    <w:name w:val="Заголовок 3 Знак1"/>
    <w:basedOn w:val="720"/>
    <w:link w:val="1191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1764" w:customStyle="1">
    <w:name w:val="Нет списка1"/>
    <w:next w:val="722"/>
    <w:uiPriority w:val="99"/>
    <w:semiHidden/>
    <w:unhideWhenUsed/>
  </w:style>
  <w:style w:type="character" w:styleId="1765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766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767" w:customStyle="1">
    <w:name w:val="Верхний колонтитул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768" w:customStyle="1">
    <w:name w:val="Нижний колонтитул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769" w:customStyle="1">
    <w:name w:val="Заголовок 2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1770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table" w:styleId="1771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772" w:customStyle="1">
    <w:name w:val="Сетка таблицы1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773" w:customStyle="1">
    <w:name w:val="Оглавление 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1774" w:customStyle="1">
    <w:name w:val="Оглавление 2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1775" w:customStyle="1">
    <w:name w:val="Оглавление 3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1776" w:customStyle="1">
    <w:name w:val="Заголовок 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1777" w:customStyle="1">
    <w:name w:val="Заголовок 3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1778" w:customStyle="1">
    <w:name w:val="Текст выноски Знак1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779" w:customStyle="1">
    <w:name w:val="Текст примечания Знак2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780" w:customStyle="1">
    <w:name w:val="Тема примечания Знак1"/>
    <w:basedOn w:val="327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781" w:customStyle="1">
    <w:name w:val="xl6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1782" w:customStyle="1">
    <w:name w:val="xl6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83" w:customStyle="1">
    <w:name w:val="xl6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84" w:customStyle="1">
    <w:name w:val="xl6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85" w:customStyle="1">
    <w:name w:val="xl6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86" w:customStyle="1">
    <w:name w:val="xl7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87" w:customStyle="1">
    <w:name w:val="xl7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1788" w:customStyle="1">
    <w:name w:val="xl7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1789" w:customStyle="1">
    <w:name w:val="xl7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1790" w:customStyle="1">
    <w:name w:val="xl7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1791" w:customStyle="1">
    <w:name w:val="xl7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1792" w:customStyle="1">
    <w:name w:val="xl7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1793" w:customStyle="1">
    <w:name w:val="xl7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1794" w:customStyle="1">
    <w:name w:val="xl7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179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79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797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798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799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0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0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80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803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0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0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80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807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808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809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10" w:customStyle="1">
    <w:name w:val="Основной текст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table" w:styleId="1811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812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813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1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1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81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1817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818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819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20" w:customStyle="1">
    <w:name w:val="Основной текст Знак3"/>
    <w:basedOn w:val="720"/>
    <w:link w:val="3189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table" w:styleId="1821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822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823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2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2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82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827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828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29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30" w:customStyle="1">
    <w:name w:val="Основной текст Знак4"/>
    <w:basedOn w:val="720"/>
    <w:link w:val="1172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831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183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3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83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835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836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37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38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839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1840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841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842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843" w:customStyle="1">
    <w:name w:val="Заголовок 2 Знак6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44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84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4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84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848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849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5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51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852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1853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854" w:customStyle="1">
    <w:name w:val="Текст примечания Знак1"/>
    <w:basedOn w:val="720"/>
    <w:link w:val="3262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855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856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85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5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85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860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861" w:customStyle="1">
    <w:name w:val="Основной текст Знак"/>
    <w:basedOn w:val="720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table" w:styleId="1862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1863" w:customStyle="1">
    <w:name w:val="Основной текст Знак2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864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6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6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86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868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1869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1870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87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72" w:customStyle="1">
    <w:name w:val="Абзац списка Знак1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873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7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7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87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877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1878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1879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8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8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88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883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884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8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86" w:customStyle="1">
    <w:name w:val="Верхний колонтитул Знак1"/>
    <w:basedOn w:val="720"/>
    <w:link w:val="1168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887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1888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889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890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891" w:customStyle="1">
    <w:name w:val="Заголовок 2 Знак6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92" w:customStyle="1">
    <w:name w:val="Текст выноски Знак"/>
    <w:basedOn w:val="720"/>
    <w:link w:val="3049"/>
    <w:uiPriority w:val="99"/>
    <w:semiHidden/>
    <w:rPr>
      <w:rFonts w:ascii="Segoe UI" w:hAnsi="Segoe UI" w:cs="Segoe UI"/>
      <w:sz w:val="18"/>
      <w:szCs w:val="18"/>
    </w:rPr>
  </w:style>
  <w:style w:type="character" w:styleId="189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89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95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896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897" w:customStyle="1">
    <w:name w:val="Без интервала Знак1"/>
    <w:uiPriority w:val="1"/>
    <w:rPr>
      <w:rFonts w:ascii="Times New Roman" w:hAnsi="Times New Roman"/>
      <w:sz w:val="24"/>
    </w:rPr>
  </w:style>
  <w:style w:type="character" w:styleId="1898" w:customStyle="1">
    <w:name w:val="Заголовок 2 Знак6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899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190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0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90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903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904" w:customStyle="1">
    <w:name w:val="Заголовок 1 Знак3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0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90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907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908" w:customStyle="1">
    <w:name w:val="Заголовок 1 Знак1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09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1910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911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1912" w:customStyle="1">
    <w:name w:val="Неразрешенное упоминание1"/>
    <w:basedOn w:val="720"/>
    <w:uiPriority w:val="99"/>
    <w:semiHidden/>
    <w:unhideWhenUsed/>
    <w:rPr>
      <w:color w:val="605e5c"/>
      <w:shd w:val="clear" w:color="auto" w:fill="e1dfdd"/>
    </w:rPr>
  </w:style>
  <w:style w:type="character" w:styleId="191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1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91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916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1917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1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19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920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1921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1922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923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1924" w:customStyle="1">
    <w:name w:val="Заголовок 2 Знак6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25" w:customStyle="1">
    <w:name w:val="Текст выноски Знак"/>
    <w:basedOn w:val="720"/>
    <w:link w:val="1170"/>
    <w:uiPriority w:val="99"/>
    <w:semiHidden/>
    <w:rPr>
      <w:rFonts w:ascii="Segoe UI" w:hAnsi="Segoe UI" w:cs="Segoe UI"/>
      <w:sz w:val="18"/>
      <w:szCs w:val="18"/>
    </w:rPr>
  </w:style>
  <w:style w:type="character" w:styleId="1926" w:customStyle="1">
    <w:name w:val="Текст примечания Знак2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927" w:customStyle="1">
    <w:name w:val="Без интервала Знак1"/>
    <w:uiPriority w:val="1"/>
    <w:rPr>
      <w:rFonts w:ascii="Times New Roman" w:hAnsi="Times New Roman"/>
      <w:sz w:val="24"/>
    </w:rPr>
  </w:style>
  <w:style w:type="character" w:styleId="1928" w:customStyle="1">
    <w:name w:val="Абзац списка Знак"/>
    <w:uiPriority w:val="34"/>
  </w:style>
  <w:style w:type="character" w:styleId="1929" w:customStyle="1">
    <w:name w:val="Заголовок 2 Знак"/>
    <w:basedOn w:val="720"/>
    <w:uiPriority w:val="9"/>
    <w:semiHidden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1930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3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32" w:customStyle="1">
    <w:name w:val="Верхний колонтитул Знак"/>
    <w:basedOn w:val="720"/>
    <w:uiPriority w:val="99"/>
  </w:style>
  <w:style w:type="character" w:styleId="1933" w:customStyle="1">
    <w:name w:val="Нижний колонтитул Знак"/>
    <w:basedOn w:val="720"/>
    <w:uiPriority w:val="99"/>
  </w:style>
  <w:style w:type="character" w:styleId="193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3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3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3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3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3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4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4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4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4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4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4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4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4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4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4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5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5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5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5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5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5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5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5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5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5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6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6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6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6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6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6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6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6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6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6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7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7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7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7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7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7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7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7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7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7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8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8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8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8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8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8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8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8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8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8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9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9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9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9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9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9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9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9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99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199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0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0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02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0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0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0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0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09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1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1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01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013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014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01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1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17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1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1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2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21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22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2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2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02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026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027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02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2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3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03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032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033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034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3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3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3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3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39" w:customStyle="1">
    <w:name w:val="Абзац списка Знак"/>
    <w:basedOn w:val="720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04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4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4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4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44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4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4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4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4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4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5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5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5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5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5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5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5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5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5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5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6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6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6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6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6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6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6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6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7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7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7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7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7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7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7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7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7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7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8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8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8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8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8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8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8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8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8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8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9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9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9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9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9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9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9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9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09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09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0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0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0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0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0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0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0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0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1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1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1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1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1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1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1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1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1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1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2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2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2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2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2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2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2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2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2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2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3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3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3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3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3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3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3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3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3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3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4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4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4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4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4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4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4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4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4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4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5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5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5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5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5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5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5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5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5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5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6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6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6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6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6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6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6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6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7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17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172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7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7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17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176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7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7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7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8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81" w:customStyle="1">
    <w:name w:val="Основной текст Знак"/>
    <w:basedOn w:val="720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18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18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8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8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8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8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8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8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9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9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9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9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9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9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9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9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19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9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0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0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0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0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0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0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0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0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1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1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1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1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1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1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1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1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1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1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2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2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2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2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2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2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2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2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2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2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3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3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3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3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3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3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3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3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3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3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4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4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4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4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4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4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4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4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4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49" w:customStyle="1">
    <w:name w:val="Основной текст Знак"/>
    <w:basedOn w:val="720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25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25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5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53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54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55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2256" w:customStyle="1">
    <w:name w:val="Основной текст Знак2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25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5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59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6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63" w:customStyle="1">
    <w:name w:val="Основной текст Знак"/>
    <w:basedOn w:val="720"/>
    <w:link w:val="3193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26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265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66" w:customStyle="1">
    <w:name w:val="Основной текст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6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6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26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270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2271" w:customStyle="1">
    <w:name w:val="Абзац списка Знак"/>
    <w:basedOn w:val="720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272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27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74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2275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276" w:customStyle="1">
    <w:name w:val="Текст выноски Знак"/>
    <w:basedOn w:val="720"/>
    <w:link w:val="3386"/>
    <w:uiPriority w:val="99"/>
    <w:semiHidden/>
    <w:rPr>
      <w:rFonts w:ascii="Segoe UI" w:hAnsi="Segoe UI" w:cs="Segoe UI"/>
      <w:sz w:val="18"/>
      <w:szCs w:val="18"/>
    </w:rPr>
  </w:style>
  <w:style w:type="character" w:styleId="227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7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79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2280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28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8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8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8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8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8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8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8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8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9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9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9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9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9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9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9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9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29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29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0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0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0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0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0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0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0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0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0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0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1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1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1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1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1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1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1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1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1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1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2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2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2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2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2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2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2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2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2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2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3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3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3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3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3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3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3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3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3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3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4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4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4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4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34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34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46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2347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348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234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5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35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352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5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54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2355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356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235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5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35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360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23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36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364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6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6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6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36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369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7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7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7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37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374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7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7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7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37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379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8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8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8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38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384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8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86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2387" w:customStyle="1">
    <w:name w:val="Основной текст Знак3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388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8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9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39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392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393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94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95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396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239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39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39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40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401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402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240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40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40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406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4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4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409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41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411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41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41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414" w:customStyle="1">
    <w:name w:val="Заголовок 1 Знак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2415" w:customStyle="1">
    <w:name w:val="Заголовок 2 Знак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2416" w:customStyle="1">
    <w:name w:val="Заголовок 3 Знак"/>
    <w:basedOn w:val="720"/>
    <w:link w:val="3314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2417" w:customStyle="1">
    <w:name w:val="Нет списка1"/>
    <w:next w:val="722"/>
    <w:uiPriority w:val="99"/>
    <w:semiHidden/>
    <w:unhideWhenUsed/>
  </w:style>
  <w:style w:type="character" w:styleId="2418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419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420" w:customStyle="1">
    <w:name w:val="Верхний колонтитул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421" w:customStyle="1">
    <w:name w:val="Нижний колонтитул Знак1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422" w:customStyle="1">
    <w:name w:val="Заголовок 2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2423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table" w:styleId="2424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2425" w:customStyle="1">
    <w:name w:val="Сетка таблицы1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2426" w:customStyle="1">
    <w:name w:val="Оглавление 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2427" w:customStyle="1">
    <w:name w:val="Оглавление 2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2428" w:customStyle="1">
    <w:name w:val="Оглавление 3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2429" w:customStyle="1">
    <w:name w:val="Заголовок 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2430" w:customStyle="1">
    <w:name w:val="Заголовок 3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2431" w:customStyle="1">
    <w:name w:val="Текст выноски Знак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2432" w:customStyle="1">
    <w:name w:val="Текст примечания Знак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433" w:customStyle="1">
    <w:name w:val="Тема примечания Знак"/>
    <w:basedOn w:val="327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2434" w:customStyle="1">
    <w:name w:val="xl6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2435" w:customStyle="1">
    <w:name w:val="xl6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36" w:customStyle="1">
    <w:name w:val="xl6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37" w:customStyle="1">
    <w:name w:val="xl6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38" w:customStyle="1">
    <w:name w:val="xl6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39" w:customStyle="1">
    <w:name w:val="xl7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40" w:customStyle="1">
    <w:name w:val="xl7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2441" w:customStyle="1">
    <w:name w:val="xl7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2442" w:customStyle="1">
    <w:name w:val="xl7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2443" w:customStyle="1">
    <w:name w:val="xl7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2444" w:customStyle="1">
    <w:name w:val="xl7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2445" w:customStyle="1">
    <w:name w:val="xl7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46" w:customStyle="1">
    <w:name w:val="xl7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2447" w:customStyle="1">
    <w:name w:val="xl7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2448" w:customStyle="1">
    <w:name w:val="Заголовок 1 Знак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2449" w:customStyle="1">
    <w:name w:val="Заголовок 2 Знак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2450" w:customStyle="1">
    <w:name w:val="Заголовок 3 Знак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2451" w:customStyle="1">
    <w:name w:val="Нет списка1"/>
    <w:next w:val="722"/>
    <w:uiPriority w:val="99"/>
    <w:semiHidden/>
    <w:unhideWhenUsed/>
  </w:style>
  <w:style w:type="character" w:styleId="2452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453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454" w:customStyle="1">
    <w:name w:val="Верхний колонтитул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455" w:customStyle="1">
    <w:name w:val="Нижний колонтитул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456" w:customStyle="1">
    <w:name w:val="Заголовок 2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2457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table" w:styleId="2458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2459" w:customStyle="1">
    <w:name w:val="Сетка таблицы1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2460" w:customStyle="1">
    <w:name w:val="Оглавление 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2461" w:customStyle="1">
    <w:name w:val="Оглавление 2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2462" w:customStyle="1">
    <w:name w:val="Оглавление 3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2463" w:customStyle="1">
    <w:name w:val="Заголовок 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2464" w:customStyle="1">
    <w:name w:val="Заголовок 3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2465" w:customStyle="1">
    <w:name w:val="Текст выноски Знак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2466" w:customStyle="1">
    <w:name w:val="Текст примечания Знак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467" w:customStyle="1">
    <w:name w:val="Тема примечания Знак"/>
    <w:basedOn w:val="2466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2468" w:customStyle="1">
    <w:name w:val="xl6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2469" w:customStyle="1">
    <w:name w:val="xl6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70" w:customStyle="1">
    <w:name w:val="xl6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71" w:customStyle="1">
    <w:name w:val="xl6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72" w:customStyle="1">
    <w:name w:val="xl6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73" w:customStyle="1">
    <w:name w:val="xl7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74" w:customStyle="1">
    <w:name w:val="xl7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2475" w:customStyle="1">
    <w:name w:val="xl7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2476" w:customStyle="1">
    <w:name w:val="xl7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2477" w:customStyle="1">
    <w:name w:val="xl7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2478" w:customStyle="1">
    <w:name w:val="xl7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2479" w:customStyle="1">
    <w:name w:val="xl7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480" w:customStyle="1">
    <w:name w:val="xl7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2481" w:customStyle="1">
    <w:name w:val="xl7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2482" w:customStyle="1">
    <w:name w:val="Заголовок 1 Знак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2483" w:customStyle="1">
    <w:name w:val="Заголовок 2 Знак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2484" w:customStyle="1">
    <w:name w:val="Заголовок 3 Знак1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2485" w:customStyle="1">
    <w:name w:val="Нет списка1"/>
    <w:next w:val="722"/>
    <w:uiPriority w:val="99"/>
    <w:semiHidden/>
    <w:unhideWhenUsed/>
  </w:style>
  <w:style w:type="character" w:styleId="2486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487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488" w:customStyle="1">
    <w:name w:val="Верхний колонтитул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489" w:customStyle="1">
    <w:name w:val="Нижний колонтитул Знак"/>
    <w:basedOn w:val="720"/>
    <w:link w:val="3348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490" w:customStyle="1">
    <w:name w:val="Заголовок 2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2491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table" w:styleId="2492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2493" w:customStyle="1">
    <w:name w:val="Сетка таблицы1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2494" w:customStyle="1">
    <w:name w:val="Оглавление 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2495" w:customStyle="1">
    <w:name w:val="Оглавление 2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2496" w:customStyle="1">
    <w:name w:val="Оглавление 3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2497" w:customStyle="1">
    <w:name w:val="Заголовок 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2498" w:customStyle="1">
    <w:name w:val="Заголовок 3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2499" w:customStyle="1">
    <w:name w:val="Текст выноски Знак1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2500" w:customStyle="1">
    <w:name w:val="Текст примечания Знак2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501" w:customStyle="1">
    <w:name w:val="Тема примечания Знак1"/>
    <w:basedOn w:val="250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2502" w:customStyle="1">
    <w:name w:val="xl6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2503" w:customStyle="1">
    <w:name w:val="xl6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504" w:customStyle="1">
    <w:name w:val="xl6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505" w:customStyle="1">
    <w:name w:val="xl6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506" w:customStyle="1">
    <w:name w:val="xl6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507" w:customStyle="1">
    <w:name w:val="xl7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508" w:customStyle="1">
    <w:name w:val="xl7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2509" w:customStyle="1">
    <w:name w:val="xl7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2510" w:customStyle="1">
    <w:name w:val="xl7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2511" w:customStyle="1">
    <w:name w:val="xl7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2512" w:customStyle="1">
    <w:name w:val="xl7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2513" w:customStyle="1">
    <w:name w:val="xl7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2514" w:customStyle="1">
    <w:name w:val="xl7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2515" w:customStyle="1">
    <w:name w:val="xl7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251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1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18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2519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520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2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2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52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524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2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2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52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528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2529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53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31" w:customStyle="1">
    <w:name w:val="Основной текст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table" w:styleId="2532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2533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534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3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3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53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538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2539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54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41" w:customStyle="1">
    <w:name w:val="Основной текст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table" w:styleId="2542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2543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544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4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4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54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548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549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50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51" w:customStyle="1">
    <w:name w:val="Основной текст Знак4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552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255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5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55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556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557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5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59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560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2561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2562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563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2564" w:customStyle="1">
    <w:name w:val="Заголовок 2 Знак6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65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256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6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56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569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570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7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72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573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2574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2575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576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2577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257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7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58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581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582" w:customStyle="1">
    <w:name w:val="Основной текст Знак"/>
    <w:basedOn w:val="720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table" w:styleId="2583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584" w:customStyle="1">
    <w:name w:val="Основной текст Знак2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58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8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8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58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589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590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591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592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93" w:customStyle="1">
    <w:name w:val="Абзац списка Знак1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594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59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59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59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598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599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600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0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0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60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604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605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06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07" w:customStyle="1">
    <w:name w:val="Верхний колонтитул Знак1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608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2609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2610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611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2612" w:customStyle="1">
    <w:name w:val="Заголовок 2 Знак6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13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261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1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16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2617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618" w:customStyle="1">
    <w:name w:val="Без интервала Знак1"/>
    <w:uiPriority w:val="1"/>
    <w:rPr>
      <w:rFonts w:ascii="Times New Roman" w:hAnsi="Times New Roman"/>
      <w:sz w:val="24"/>
    </w:rPr>
  </w:style>
  <w:style w:type="character" w:styleId="2619" w:customStyle="1">
    <w:name w:val="Заголовок 2 Знак6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20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262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2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62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624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625" w:customStyle="1">
    <w:name w:val="Заголовок 1 Знак3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2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62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628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629" w:customStyle="1">
    <w:name w:val="Заголовок 1 Знак1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30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2631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632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633" w:customStyle="1">
    <w:name w:val="Неразрешенное упоминание1"/>
    <w:basedOn w:val="720"/>
    <w:uiPriority w:val="99"/>
    <w:semiHidden/>
    <w:unhideWhenUsed/>
    <w:rPr>
      <w:color w:val="605e5c"/>
      <w:shd w:val="clear" w:color="auto" w:fill="e1dfdd"/>
    </w:rPr>
  </w:style>
  <w:style w:type="character" w:styleId="263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3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63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637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2638" w:customStyle="1">
    <w:name w:val="Основной текст Знак"/>
    <w:basedOn w:val="720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table" w:styleId="2639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640" w:customStyle="1">
    <w:name w:val="Основной текст Знак2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64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4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4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64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645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646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647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64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49" w:customStyle="1">
    <w:name w:val="Абзац списка Знак1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650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5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5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65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654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655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656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57" w:customStyle="1">
    <w:name w:val="Верхний колонтитул Знак2"/>
    <w:basedOn w:val="720"/>
    <w:link w:val="733"/>
    <w:uiPriority w:val="99"/>
    <w:semiHidden/>
    <w:rPr>
      <w:sz w:val="20"/>
      <w:szCs w:val="20"/>
    </w:rPr>
  </w:style>
  <w:style w:type="character" w:styleId="2658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2659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2660" w:customStyle="1">
    <w:name w:val="Текст примечания Знак1"/>
    <w:basedOn w:val="720"/>
    <w:uiPriority w:val="99"/>
    <w:semiHidden/>
    <w:rPr>
      <w:sz w:val="20"/>
      <w:szCs w:val="20"/>
    </w:rPr>
  </w:style>
  <w:style w:type="character" w:styleId="26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66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664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665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666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67" w:customStyle="1">
    <w:name w:val="Текст примечания Знак"/>
    <w:basedOn w:val="720"/>
    <w:uiPriority w:val="99"/>
    <w:semiHidden/>
    <w:rPr>
      <w:sz w:val="20"/>
      <w:szCs w:val="20"/>
    </w:rPr>
  </w:style>
  <w:style w:type="character" w:styleId="2668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2669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2670" w:customStyle="1">
    <w:name w:val="Текст примечания Знак1"/>
    <w:basedOn w:val="720"/>
    <w:uiPriority w:val="99"/>
    <w:semiHidden/>
    <w:rPr>
      <w:sz w:val="20"/>
      <w:szCs w:val="20"/>
    </w:rPr>
  </w:style>
  <w:style w:type="character" w:styleId="267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7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67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674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675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676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77" w:customStyle="1">
    <w:name w:val="Текст примечания Знак"/>
    <w:basedOn w:val="720"/>
    <w:uiPriority w:val="99"/>
    <w:semiHidden/>
    <w:rPr>
      <w:sz w:val="20"/>
      <w:szCs w:val="20"/>
    </w:rPr>
  </w:style>
  <w:style w:type="character" w:styleId="2678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2679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2680" w:customStyle="1">
    <w:name w:val="Текст примечания Знак1"/>
    <w:basedOn w:val="720"/>
    <w:uiPriority w:val="99"/>
    <w:semiHidden/>
    <w:rPr>
      <w:sz w:val="20"/>
      <w:szCs w:val="20"/>
    </w:rPr>
  </w:style>
  <w:style w:type="character" w:styleId="268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8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68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684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685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686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87" w:customStyle="1">
    <w:name w:val="Текст примечания Знак"/>
    <w:basedOn w:val="720"/>
    <w:uiPriority w:val="99"/>
    <w:semiHidden/>
    <w:rPr>
      <w:sz w:val="20"/>
      <w:szCs w:val="20"/>
    </w:rPr>
  </w:style>
  <w:style w:type="character" w:styleId="2688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2689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2690" w:customStyle="1">
    <w:name w:val="Текст примечания Знак1"/>
    <w:basedOn w:val="720"/>
    <w:uiPriority w:val="99"/>
    <w:semiHidden/>
    <w:rPr>
      <w:sz w:val="20"/>
      <w:szCs w:val="20"/>
    </w:rPr>
  </w:style>
  <w:style w:type="character" w:styleId="269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69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69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694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695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696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697" w:customStyle="1">
    <w:name w:val="Текст примечания Знак"/>
    <w:basedOn w:val="720"/>
    <w:uiPriority w:val="99"/>
    <w:semiHidden/>
    <w:rPr>
      <w:sz w:val="20"/>
      <w:szCs w:val="20"/>
    </w:rPr>
  </w:style>
  <w:style w:type="character" w:styleId="2698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2699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2700" w:customStyle="1">
    <w:name w:val="Текст примечания Знак1"/>
    <w:basedOn w:val="720"/>
    <w:uiPriority w:val="99"/>
    <w:semiHidden/>
    <w:rPr>
      <w:sz w:val="20"/>
      <w:szCs w:val="20"/>
    </w:rPr>
  </w:style>
  <w:style w:type="character" w:styleId="2701" w:customStyle="1">
    <w:name w:val="Абзац списка Знак"/>
    <w:uiPriority w:val="34"/>
  </w:style>
  <w:style w:type="character" w:styleId="2702" w:customStyle="1">
    <w:name w:val="Заголовок 2 Знак9"/>
    <w:basedOn w:val="720"/>
    <w:link w:val="717"/>
    <w:uiPriority w:val="9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2703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04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05" w:customStyle="1">
    <w:name w:val="Верхний колонтитул Знак"/>
    <w:basedOn w:val="720"/>
    <w:link w:val="3435"/>
    <w:uiPriority w:val="99"/>
  </w:style>
  <w:style w:type="character" w:styleId="2706" w:customStyle="1">
    <w:name w:val="Нижний колонтитул Знак"/>
    <w:basedOn w:val="720"/>
    <w:link w:val="3436"/>
    <w:uiPriority w:val="99"/>
  </w:style>
  <w:style w:type="character" w:styleId="27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0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1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1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1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1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1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1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1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1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1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1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2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2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2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2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2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2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2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2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2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2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3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3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3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3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3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3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3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3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3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3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4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4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4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4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4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4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4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4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4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4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5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5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5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5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5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5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5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5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5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5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6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6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6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6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6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6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6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6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7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7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7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7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7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75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7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7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7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7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8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8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82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8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8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78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786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787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78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8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90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9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9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9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94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9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79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79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79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799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800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80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0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0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80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805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2806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2807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0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0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1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1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12" w:customStyle="1">
    <w:name w:val="Абзац списка Знак"/>
    <w:basedOn w:val="720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281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1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1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1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17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1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1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2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2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2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2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2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2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2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2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2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2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3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3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3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3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3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3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3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3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3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3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4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4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4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4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4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4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4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4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4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4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5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5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5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5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5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5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5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5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5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5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6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6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6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6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6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6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6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6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6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6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7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7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7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7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7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7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7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7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7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7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8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8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8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8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8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8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8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8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8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8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9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9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9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9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9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9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9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9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89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89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0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0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0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0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0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0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0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0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0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0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1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1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1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1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1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1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1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1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1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1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2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2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2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2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2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2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2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2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2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2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3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3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3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3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3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3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3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3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3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3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4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4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4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4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94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94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4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4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94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949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5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5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5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5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54" w:customStyle="1">
    <w:name w:val="Основной текст Знак"/>
    <w:basedOn w:val="720"/>
    <w:link w:val="3437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295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295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5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5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5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6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6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6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6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6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6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6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6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6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6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7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7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7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7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7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7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7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7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7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7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8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8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8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8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8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8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8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8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8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8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9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9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9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9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9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9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9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9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99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299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0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0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0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0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0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0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0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0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0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0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1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1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1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1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1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1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1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1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1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1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2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2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22" w:customStyle="1">
    <w:name w:val="Основной текст Знак"/>
    <w:basedOn w:val="720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02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02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2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26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27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28" w:customStyle="1">
    <w:name w:val="Основной текст Знак"/>
    <w:basedOn w:val="720"/>
    <w:link w:val="3439"/>
    <w:uiPriority w:val="99"/>
    <w:semiHidden/>
    <w:rPr>
      <w:rFonts w:ascii="Times New Roman" w:hAnsi="Times New Roman"/>
      <w:sz w:val="24"/>
    </w:rPr>
  </w:style>
  <w:style w:type="character" w:styleId="3029" w:customStyle="1">
    <w:name w:val="Основной текст Знак2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03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3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32" w:customStyle="1">
    <w:name w:val="Заголовок 2 Знак1"/>
    <w:basedOn w:val="720"/>
    <w:uiPriority w:val="1"/>
    <w:semiHidden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3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3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3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36" w:customStyle="1">
    <w:name w:val="Основной текст Знак"/>
    <w:basedOn w:val="720"/>
    <w:link w:val="1687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03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038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39" w:customStyle="1">
    <w:name w:val="Основной текст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4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4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04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043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3044" w:customStyle="1">
    <w:name w:val="Абзац списка Знак"/>
    <w:basedOn w:val="720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045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046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47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3048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049" w:customStyle="1">
    <w:name w:val="Текст выноски Знак"/>
    <w:basedOn w:val="720"/>
    <w:link w:val="1892"/>
    <w:uiPriority w:val="99"/>
    <w:semiHidden/>
    <w:rPr>
      <w:rFonts w:ascii="Segoe UI" w:hAnsi="Segoe UI" w:cs="Segoe UI"/>
      <w:sz w:val="18"/>
      <w:szCs w:val="18"/>
    </w:rPr>
  </w:style>
  <w:style w:type="character" w:styleId="305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5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52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3053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054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5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5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5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5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5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6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6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6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6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6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6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6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6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6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6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7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7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7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7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7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7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7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7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7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7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8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8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8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8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8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8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8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8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8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8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9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9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9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9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9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9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9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9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09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09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0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0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0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0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0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0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0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0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1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1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1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13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14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1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1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11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11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19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3120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121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312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2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12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125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26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27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3128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129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313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3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13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133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313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3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13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137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3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3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4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14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142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4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4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4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14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147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4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4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5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15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152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5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5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5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15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157" w:customStyle="1">
    <w:name w:val="Заголовок 2 Знак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5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59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3160" w:customStyle="1">
    <w:name w:val="Основной текст Знак3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161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62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63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16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165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166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67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68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69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317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7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17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17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74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75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317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7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17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179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80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81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82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8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84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85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86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87" w:customStyle="1">
    <w:name w:val="Заголовок 1 Знак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188" w:customStyle="1">
    <w:name w:val="Заголовок 2 Знак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189" w:customStyle="1">
    <w:name w:val="Заголовок 3 Знак"/>
    <w:basedOn w:val="720"/>
    <w:link w:val="18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190" w:customStyle="1">
    <w:name w:val="Нет списка1"/>
    <w:next w:val="722"/>
    <w:uiPriority w:val="99"/>
    <w:semiHidden/>
    <w:unhideWhenUsed/>
  </w:style>
  <w:style w:type="character" w:styleId="3191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192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193" w:customStyle="1">
    <w:name w:val="Верхний колонтитул Знак"/>
    <w:basedOn w:val="720"/>
    <w:link w:val="2263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194" w:customStyle="1">
    <w:name w:val="Нижний колонтитул Знак1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195" w:customStyle="1">
    <w:name w:val="Заголовок 2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196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table" w:styleId="3197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198" w:customStyle="1">
    <w:name w:val="Сетка таблицы1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199" w:customStyle="1">
    <w:name w:val="Оглавление 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200" w:customStyle="1">
    <w:name w:val="Оглавление 2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201" w:customStyle="1">
    <w:name w:val="Оглавление 3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202" w:customStyle="1">
    <w:name w:val="Заголовок 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203" w:customStyle="1">
    <w:name w:val="Заголовок 3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204" w:customStyle="1">
    <w:name w:val="Текст выноски Знак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205" w:customStyle="1">
    <w:name w:val="Текст примечания Знак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206" w:customStyle="1">
    <w:name w:val="Тема примечания Знак"/>
    <w:basedOn w:val="250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207" w:customStyle="1">
    <w:name w:val="xl6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208" w:customStyle="1">
    <w:name w:val="xl6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09" w:customStyle="1">
    <w:name w:val="xl6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10" w:customStyle="1">
    <w:name w:val="xl6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11" w:customStyle="1">
    <w:name w:val="xl6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12" w:customStyle="1">
    <w:name w:val="xl7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13" w:customStyle="1">
    <w:name w:val="xl7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214" w:customStyle="1">
    <w:name w:val="xl7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215" w:customStyle="1">
    <w:name w:val="xl7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216" w:customStyle="1">
    <w:name w:val="xl7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217" w:customStyle="1">
    <w:name w:val="xl7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218" w:customStyle="1">
    <w:name w:val="xl7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19" w:customStyle="1">
    <w:name w:val="xl7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220" w:customStyle="1">
    <w:name w:val="xl7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221" w:customStyle="1">
    <w:name w:val="Заголовок 1 Знак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222" w:customStyle="1">
    <w:name w:val="Заголовок 2 Знак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223" w:customStyle="1">
    <w:name w:val="Заголовок 3 Знак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224" w:customStyle="1">
    <w:name w:val="Нет списка1"/>
    <w:next w:val="722"/>
    <w:uiPriority w:val="99"/>
    <w:semiHidden/>
    <w:unhideWhenUsed/>
  </w:style>
  <w:style w:type="character" w:styleId="3225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226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227" w:customStyle="1">
    <w:name w:val="Верхний колонтитул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228" w:customStyle="1">
    <w:name w:val="Нижний колонтитул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229" w:customStyle="1">
    <w:name w:val="Заголовок 2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230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table" w:styleId="3231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232" w:customStyle="1">
    <w:name w:val="Сетка таблицы1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233" w:customStyle="1">
    <w:name w:val="Оглавление 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234" w:customStyle="1">
    <w:name w:val="Оглавление 2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235" w:customStyle="1">
    <w:name w:val="Оглавление 3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236" w:customStyle="1">
    <w:name w:val="Заголовок 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237" w:customStyle="1">
    <w:name w:val="Заголовок 3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238" w:customStyle="1">
    <w:name w:val="Текст выноски Знак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239" w:customStyle="1">
    <w:name w:val="Текст примечания Знак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240" w:customStyle="1">
    <w:name w:val="Тема примечания Знак"/>
    <w:basedOn w:val="323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241" w:customStyle="1">
    <w:name w:val="xl6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242" w:customStyle="1">
    <w:name w:val="xl6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43" w:customStyle="1">
    <w:name w:val="xl6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44" w:customStyle="1">
    <w:name w:val="xl6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45" w:customStyle="1">
    <w:name w:val="xl6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46" w:customStyle="1">
    <w:name w:val="xl7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47" w:customStyle="1">
    <w:name w:val="xl7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248" w:customStyle="1">
    <w:name w:val="xl7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249" w:customStyle="1">
    <w:name w:val="xl7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250" w:customStyle="1">
    <w:name w:val="xl7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251" w:customStyle="1">
    <w:name w:val="xl7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252" w:customStyle="1">
    <w:name w:val="xl7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53" w:customStyle="1">
    <w:name w:val="xl7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254" w:customStyle="1">
    <w:name w:val="xl7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255" w:customStyle="1">
    <w:name w:val="Заголовок 1 Знак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256" w:customStyle="1">
    <w:name w:val="Заголовок 2 Знак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257" w:customStyle="1">
    <w:name w:val="Заголовок 3 Знак2"/>
    <w:basedOn w:val="720"/>
    <w:link w:val="718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258" w:customStyle="1">
    <w:name w:val="Нет списка1"/>
    <w:next w:val="722"/>
    <w:uiPriority w:val="99"/>
    <w:semiHidden/>
    <w:unhideWhenUsed/>
  </w:style>
  <w:style w:type="character" w:styleId="3259" w:customStyle="1">
    <w:name w:val="Основной текст Знак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260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261" w:customStyle="1">
    <w:name w:val="Верхний колонтитул Знак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262" w:customStyle="1">
    <w:name w:val="Нижний колонтитул Знак"/>
    <w:basedOn w:val="720"/>
    <w:link w:val="1854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263" w:customStyle="1">
    <w:name w:val="Заголовок 2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264" w:customStyle="1">
    <w:name w:val="Гипертекстовая ссылка"/>
    <w:basedOn w:val="720"/>
    <w:uiPriority w:val="99"/>
    <w:rPr>
      <w:b w:val="0"/>
      <w:bCs w:val="0"/>
      <w:color w:val="106bbe"/>
    </w:rPr>
  </w:style>
  <w:style w:type="table" w:styleId="3265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266" w:customStyle="1">
    <w:name w:val="Сетка таблицы1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267" w:customStyle="1">
    <w:name w:val="Оглавление 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268" w:customStyle="1">
    <w:name w:val="Оглавление 2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269" w:customStyle="1">
    <w:name w:val="Оглавление 3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270" w:customStyle="1">
    <w:name w:val="Заголовок 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271" w:customStyle="1">
    <w:name w:val="Заголовок 3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272" w:customStyle="1">
    <w:name w:val="Текст выноски Знак2"/>
    <w:basedOn w:val="720"/>
    <w:link w:val="92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273" w:customStyle="1">
    <w:name w:val="Текст примечания Знак4"/>
    <w:basedOn w:val="720"/>
    <w:link w:val="92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274" w:customStyle="1">
    <w:name w:val="Тема примечания Знак2"/>
    <w:basedOn w:val="3273"/>
    <w:link w:val="171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275" w:customStyle="1">
    <w:name w:val="xl6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276" w:customStyle="1">
    <w:name w:val="xl6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77" w:customStyle="1">
    <w:name w:val="xl6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78" w:customStyle="1">
    <w:name w:val="xl6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79" w:customStyle="1">
    <w:name w:val="xl6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80" w:customStyle="1">
    <w:name w:val="xl7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81" w:customStyle="1">
    <w:name w:val="xl7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282" w:customStyle="1">
    <w:name w:val="xl7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283" w:customStyle="1">
    <w:name w:val="xl7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284" w:customStyle="1">
    <w:name w:val="xl7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285" w:customStyle="1">
    <w:name w:val="xl7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286" w:customStyle="1">
    <w:name w:val="xl7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287" w:customStyle="1">
    <w:name w:val="xl7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288" w:customStyle="1">
    <w:name w:val="xl7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28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29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291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3292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293" w:customStyle="1">
    <w:name w:val="Заголовок 2 Знак1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29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29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29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297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29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29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30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301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3302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30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04" w:customStyle="1">
    <w:name w:val="Основной текст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table" w:styleId="3305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306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307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0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0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31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3311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3312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31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14" w:customStyle="1">
    <w:name w:val="Основной текст Знак3"/>
    <w:basedOn w:val="720"/>
    <w:link w:val="2416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table" w:styleId="3315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316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317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1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1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32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321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322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23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24" w:customStyle="1">
    <w:name w:val="Основной текст Знак5"/>
    <w:basedOn w:val="720"/>
    <w:link w:val="946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325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3326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27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32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329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330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31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32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333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3334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3335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336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3337" w:customStyle="1">
    <w:name w:val="Заголовок 2 Знак6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38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333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4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34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342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343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44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45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346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3347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3348" w:customStyle="1">
    <w:name w:val="Текст примечания Знак1"/>
    <w:basedOn w:val="720"/>
    <w:link w:val="2489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349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3350" w:customStyle="1">
    <w:name w:val="Текст выноски Знак"/>
    <w:basedOn w:val="720"/>
    <w:link w:val="725"/>
    <w:uiPriority w:val="99"/>
    <w:semiHidden/>
    <w:rPr>
      <w:rFonts w:ascii="Segoe UI" w:hAnsi="Segoe UI" w:cs="Segoe UI"/>
      <w:sz w:val="18"/>
      <w:szCs w:val="18"/>
    </w:rPr>
  </w:style>
  <w:style w:type="character" w:styleId="3351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52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35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354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355" w:customStyle="1">
    <w:name w:val="Основной текст Знак"/>
    <w:basedOn w:val="720"/>
    <w:uiPriority w:val="1"/>
    <w:semiHidden/>
    <w:rPr>
      <w:rFonts w:ascii="Times New Roman" w:hAnsi="Times New Roman" w:cs="Times New Roman" w:eastAsiaTheme="minorEastAsia"/>
      <w:sz w:val="24"/>
      <w:szCs w:val="24"/>
      <w:lang w:eastAsia="ru-RU"/>
    </w:rPr>
  </w:style>
  <w:style w:type="table" w:styleId="3356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3357" w:customStyle="1">
    <w:name w:val="Основной текст Знак2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358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59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60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36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362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3363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3364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365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66" w:customStyle="1">
    <w:name w:val="Абзац списка Знак1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367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6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6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37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371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table" w:styleId="3372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3373" w:customStyle="1">
    <w:name w:val="Заголовок 2 Знак4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7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7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37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377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378" w:customStyle="1">
    <w:name w:val="Заголовок 1 Знак2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79" w:customStyle="1">
    <w:name w:val="Заголовок 2 Знак3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80" w:customStyle="1">
    <w:name w:val="Верхний колонтитул Знак1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381" w:customStyle="1">
    <w:name w:val="formattext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3382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3383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384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3385" w:customStyle="1">
    <w:name w:val="Заголовок 2 Знак6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86" w:customStyle="1">
    <w:name w:val="Текст выноски Знак"/>
    <w:basedOn w:val="720"/>
    <w:link w:val="2276"/>
    <w:uiPriority w:val="99"/>
    <w:semiHidden/>
    <w:rPr>
      <w:rFonts w:ascii="Segoe UI" w:hAnsi="Segoe UI" w:cs="Segoe UI"/>
      <w:sz w:val="18"/>
      <w:szCs w:val="18"/>
    </w:rPr>
  </w:style>
  <w:style w:type="character" w:styleId="338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8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89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3390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391" w:customStyle="1">
    <w:name w:val="Без интервала Знак1"/>
    <w:uiPriority w:val="1"/>
    <w:rPr>
      <w:rFonts w:ascii="Times New Roman" w:hAnsi="Times New Roman"/>
      <w:sz w:val="24"/>
    </w:rPr>
  </w:style>
  <w:style w:type="character" w:styleId="3392" w:customStyle="1">
    <w:name w:val="Заголовок 2 Знак6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393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339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9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39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397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398" w:customStyle="1">
    <w:name w:val="Заголовок 1 Знак4"/>
    <w:basedOn w:val="720"/>
    <w:link w:val="716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39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40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401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402" w:customStyle="1">
    <w:name w:val="Заголовок 1 Знак1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403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3404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405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406" w:customStyle="1">
    <w:name w:val="Неразрешенное упоминание1"/>
    <w:basedOn w:val="720"/>
    <w:uiPriority w:val="99"/>
    <w:semiHidden/>
    <w:unhideWhenUsed/>
    <w:rPr>
      <w:color w:val="605e5c"/>
      <w:shd w:val="clear" w:color="auto" w:fill="e1dfdd"/>
    </w:rPr>
  </w:style>
  <w:style w:type="character" w:styleId="3407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408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409" w:customStyle="1">
    <w:name w:val="Текст примечания Знак"/>
    <w:basedOn w:val="720"/>
    <w:uiPriority w:val="99"/>
    <w:semiHidden/>
    <w:rPr>
      <w:rFonts w:ascii="Times New Roman" w:hAnsi="Times New Roman"/>
      <w:sz w:val="20"/>
      <w:szCs w:val="20"/>
    </w:rPr>
  </w:style>
  <w:style w:type="character" w:styleId="3410" w:customStyle="1">
    <w:name w:val="Текст примечания Знак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411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3412" w:customStyle="1">
    <w:name w:val="Заголовок 2 Знак6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413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341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41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41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417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41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41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42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421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422" w:customStyle="1">
    <w:name w:val="Заголовок 1 Знак1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423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3424" w:customStyle="1">
    <w:name w:val="Абзац списка Знак"/>
    <w:basedOn w:val="72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425" w:customStyle="1">
    <w:name w:val="Основной текст Знак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426" w:customStyle="1">
    <w:name w:val="Текст выноски Знак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3427" w:customStyle="1">
    <w:name w:val="Текст примечания Знак"/>
    <w:basedOn w:val="720"/>
    <w:uiPriority w:val="99"/>
    <w:semiHidden/>
    <w:rPr>
      <w:sz w:val="20"/>
      <w:szCs w:val="20"/>
    </w:rPr>
  </w:style>
  <w:style w:type="character" w:styleId="3428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429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43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431" w:customStyle="1">
    <w:name w:val="Table Paragraph"/>
    <w:basedOn w:val="728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432" w:customStyle="1">
    <w:name w:val="Заголовок 1 Знак1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433" w:customStyle="1">
    <w:name w:val="Основной текст Знак"/>
    <w:basedOn w:val="720"/>
    <w:uiPriority w:val="99"/>
    <w:semiHidden/>
    <w:rPr>
      <w:rFonts w:ascii="Times New Roman" w:hAnsi="Times New Roman"/>
      <w:sz w:val="24"/>
    </w:rPr>
  </w:style>
  <w:style w:type="character" w:styleId="3434" w:customStyle="1">
    <w:name w:val="Абзац списка Знак"/>
    <w:basedOn w:val="720"/>
    <w:link w:val="729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435" w:customStyle="1">
    <w:name w:val="Основной текст Знак1"/>
    <w:basedOn w:val="720"/>
    <w:link w:val="2705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436" w:customStyle="1">
    <w:name w:val="Текст выноски Знак"/>
    <w:basedOn w:val="720"/>
    <w:link w:val="2706"/>
    <w:uiPriority w:val="99"/>
    <w:semiHidden/>
    <w:rPr>
      <w:rFonts w:ascii="Segoe UI" w:hAnsi="Segoe UI" w:cs="Segoe UI"/>
      <w:sz w:val="18"/>
      <w:szCs w:val="18"/>
    </w:rPr>
  </w:style>
  <w:style w:type="character" w:styleId="3437" w:customStyle="1">
    <w:name w:val="Текст примечания Знак"/>
    <w:basedOn w:val="720"/>
    <w:link w:val="2954"/>
    <w:uiPriority w:val="99"/>
    <w:semiHidden/>
    <w:rPr>
      <w:sz w:val="20"/>
      <w:szCs w:val="20"/>
    </w:rPr>
  </w:style>
  <w:style w:type="character" w:styleId="3438" w:customStyle="1">
    <w:name w:val="ТС_Текст_Основной Знак"/>
    <w:rPr>
      <w:rFonts w:ascii="Arial Narrow" w:hAnsi="Arial Narrow" w:eastAsia="Times New Roman" w:cs="Times New Roman"/>
      <w:sz w:val="28"/>
      <w:szCs w:val="28"/>
      <w:lang w:eastAsia="ru-RU"/>
    </w:rPr>
  </w:style>
  <w:style w:type="paragraph" w:styleId="3439" w:customStyle="1">
    <w:name w:val="ТС_Текст_Основной"/>
    <w:basedOn w:val="728"/>
    <w:link w:val="3028"/>
    <w:pPr>
      <w:ind w:firstLine="567"/>
      <w:jc w:val="both"/>
    </w:pPr>
    <w:rPr>
      <w:rFonts w:ascii="Arial Narrow" w:hAnsi="Arial Narrow" w:eastAsia="Times New Roman" w:cs="Times New Roman"/>
      <w:sz w:val="28"/>
      <w:szCs w:val="28"/>
      <w:lang w:eastAsia="ru-RU"/>
    </w:rPr>
  </w:style>
  <w:style w:type="character" w:styleId="3440" w:customStyle="1">
    <w:name w:val="Текст примечания Знак1"/>
    <w:basedOn w:val="72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441" w:customStyle="1">
    <w:name w:val="Без интервала Знак"/>
    <w:uiPriority w:val="1"/>
    <w:rPr>
      <w:rFonts w:ascii="Times New Roman" w:hAnsi="Times New Roman"/>
      <w:sz w:val="24"/>
    </w:rPr>
  </w:style>
  <w:style w:type="character" w:styleId="3442" w:customStyle="1">
    <w:name w:val="Заголовок 2 Знак7"/>
    <w:basedOn w:val="720"/>
    <w:uiPriority w:val="9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3443" w:customStyle="1">
    <w:name w:val="ТС_Список_Марк"/>
    <w:qFormat/>
    <w:pPr>
      <w:numPr>
        <w:ilvl w:val="0"/>
        <w:numId w:val="2"/>
      </w:numPr>
      <w:ind w:left="0" w:firstLine="567"/>
      <w:tabs>
        <w:tab w:val="num" w:pos="360" w:leader="none"/>
      </w:tabs>
    </w:pPr>
  </w:style>
  <w:style w:type="character" w:styleId="3444" w:customStyle="1">
    <w:name w:val="Заголовок 1 Знак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445" w:customStyle="1">
    <w:name w:val="Заголовок 2 Знак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446" w:customStyle="1">
    <w:name w:val="Default"/>
    <w:qFormat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447" w:customStyle="1">
    <w:name w:val="Table Paragraph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448" w:customStyle="1">
    <w:name w:val="Заголовок 1 Знак1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449" w:customStyle="1">
    <w:name w:val="Основной текст Знак"/>
    <w:basedOn w:val="720"/>
    <w:uiPriority w:val="99"/>
    <w:rPr>
      <w:rFonts w:ascii="Times New Roman" w:hAnsi="Times New Roman"/>
      <w:sz w:val="24"/>
    </w:rPr>
  </w:style>
  <w:style w:type="character" w:styleId="3450" w:customStyle="1">
    <w:name w:val="Абзац списка Знак"/>
    <w:basedOn w:val="720"/>
    <w:uiPriority w:val="34"/>
    <w:qFormat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451" w:customStyle="1">
    <w:name w:val="Нижний колонтитул Знак2"/>
    <w:basedOn w:val="720"/>
    <w:link w:val="735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452" w:customStyle="1">
    <w:name w:val="Текст выноски Знак"/>
    <w:basedOn w:val="720"/>
    <w:link w:val="1131"/>
    <w:uiPriority w:val="99"/>
    <w:rPr>
      <w:rFonts w:ascii="Segoe UI" w:hAnsi="Segoe UI" w:cs="Segoe UI"/>
      <w:sz w:val="18"/>
      <w:szCs w:val="18"/>
    </w:rPr>
  </w:style>
  <w:style w:type="character" w:styleId="3453" w:customStyle="1">
    <w:name w:val="Текст примечания Знак"/>
    <w:basedOn w:val="720"/>
    <w:uiPriority w:val="99"/>
    <w:rPr>
      <w:sz w:val="20"/>
      <w:szCs w:val="20"/>
    </w:rPr>
  </w:style>
  <w:style w:type="paragraph" w:styleId="3454" w:customStyle="1">
    <w:name w:val="msonormal"/>
    <w:basedOn w:val="71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455" w:customStyle="1">
    <w:name w:val="ConsPlusCell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3456" w:customStyle="1">
    <w:name w:val="Aобычный текст"/>
    <w:basedOn w:val="715"/>
    <w:link w:val="3457"/>
    <w:qFormat/>
    <w:pPr>
      <w:contextualSpacing/>
      <w:ind w:firstLine="567"/>
      <w:jc w:val="both"/>
    </w:pPr>
    <w:rPr>
      <w:rFonts w:eastAsia="Calibri" w:cs="Times New Roman"/>
      <w:sz w:val="25"/>
      <w:szCs w:val="28"/>
    </w:rPr>
  </w:style>
  <w:style w:type="character" w:styleId="3457" w:customStyle="1">
    <w:name w:val="Aобычный текст Знак"/>
    <w:link w:val="3456"/>
    <w:rPr>
      <w:rFonts w:ascii="Times New Roman" w:hAnsi="Times New Roman" w:eastAsia="Calibri" w:cs="Times New Roman"/>
      <w:sz w:val="25"/>
      <w:szCs w:val="28"/>
    </w:rPr>
  </w:style>
  <w:style w:type="paragraph" w:styleId="3458" w:customStyle="1">
    <w:name w:val="Нормальный (таблица)"/>
    <w:basedOn w:val="715"/>
    <w:next w:val="715"/>
    <w:uiPriority w:val="99"/>
    <w:pPr>
      <w:jc w:val="both"/>
      <w:widowControl w:val="off"/>
    </w:pPr>
    <w:rPr>
      <w:rFonts w:ascii="Arial" w:hAnsi="Arial" w:eastAsia="Times New Roman" w:cs="Arial"/>
      <w:szCs w:val="24"/>
      <w:lang w:eastAsia="ru-RU"/>
    </w:rPr>
  </w:style>
  <w:style w:type="paragraph" w:styleId="3459" w:customStyle="1">
    <w:name w:val="Прижатый влево"/>
    <w:basedOn w:val="715"/>
    <w:next w:val="715"/>
    <w:uiPriority w:val="99"/>
    <w:pPr>
      <w:jc w:val="both"/>
      <w:widowControl w:val="off"/>
    </w:pPr>
    <w:rPr>
      <w:rFonts w:ascii="Arial" w:hAnsi="Arial" w:eastAsia="Times New Roman" w:cs="Arial"/>
      <w:szCs w:val="24"/>
      <w:lang w:eastAsia="ru-RU"/>
    </w:rPr>
  </w:style>
  <w:style w:type="paragraph" w:styleId="3460">
    <w:name w:val="Body Text Indent"/>
    <w:basedOn w:val="715"/>
    <w:link w:val="3461"/>
    <w:uiPriority w:val="99"/>
    <w:unhideWhenUsed/>
    <w:pPr>
      <w:ind w:left="283" w:firstLine="454"/>
      <w:jc w:val="both"/>
      <w:spacing w:after="120" w:line="276" w:lineRule="auto"/>
    </w:pPr>
    <w:rPr>
      <w:sz w:val="25"/>
    </w:rPr>
  </w:style>
  <w:style w:type="character" w:styleId="3461" w:customStyle="1">
    <w:name w:val="Основной текст с отступом Знак"/>
    <w:basedOn w:val="720"/>
    <w:link w:val="3460"/>
    <w:uiPriority w:val="99"/>
    <w:rPr>
      <w:rFonts w:ascii="Times New Roman" w:hAnsi="Times New Roman"/>
      <w:sz w:val="25"/>
    </w:rPr>
  </w:style>
  <w:style w:type="paragraph" w:styleId="3462" w:customStyle="1">
    <w:name w:val="xl99"/>
    <w:basedOn w:val="715"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eastAsia="Times New Roman" w:cs="Times New Roman"/>
      <w:b/>
      <w:bCs/>
      <w:sz w:val="20"/>
      <w:szCs w:val="20"/>
      <w:lang w:eastAsia="ru-RU"/>
    </w:rPr>
  </w:style>
  <w:style w:type="paragraph" w:styleId="3463" w:customStyle="1">
    <w:name w:val="xl7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64" w:customStyle="1">
    <w:name w:val="xl8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65" w:customStyle="1">
    <w:name w:val="xl81"/>
    <w:basedOn w:val="715"/>
    <w:pPr>
      <w:jc w:val="center"/>
      <w:spacing w:before="100" w:beforeAutospacing="1" w:after="100" w:afterAutospacing="1"/>
    </w:pPr>
    <w:rPr>
      <w:rFonts w:eastAsia="Times New Roman" w:cs="Times New Roman"/>
      <w:color w:val="000000"/>
      <w:sz w:val="20"/>
      <w:szCs w:val="20"/>
      <w:lang w:eastAsia="ru-RU"/>
    </w:rPr>
  </w:style>
  <w:style w:type="paragraph" w:styleId="3466" w:customStyle="1">
    <w:name w:val="xl8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color w:val="000000"/>
      <w:sz w:val="20"/>
      <w:szCs w:val="20"/>
      <w:lang w:eastAsia="ru-RU"/>
    </w:rPr>
  </w:style>
  <w:style w:type="paragraph" w:styleId="3467" w:customStyle="1">
    <w:name w:val="xl83"/>
    <w:basedOn w:val="715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68" w:customStyle="1">
    <w:name w:val="xl84"/>
    <w:basedOn w:val="715"/>
    <w:pPr>
      <w:jc w:val="center"/>
      <w:spacing w:before="100" w:beforeAutospacing="1" w:after="100" w:afterAutospacing="1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69" w:customStyle="1">
    <w:name w:val="xl8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70" w:customStyle="1">
    <w:name w:val="xl86"/>
    <w:basedOn w:val="715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71" w:customStyle="1">
    <w:name w:val="xl8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72" w:customStyle="1">
    <w:name w:val="xl88"/>
    <w:basedOn w:val="715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 w:val="20"/>
      <w:szCs w:val="20"/>
      <w:lang w:eastAsia="ru-RU"/>
    </w:rPr>
  </w:style>
  <w:style w:type="paragraph" w:styleId="3473" w:customStyle="1">
    <w:name w:val="xl89"/>
    <w:basedOn w:val="715"/>
    <w:pPr>
      <w:spacing w:before="100" w:beforeAutospacing="1" w:after="100" w:afterAutospacing="1"/>
      <w:shd w:val="clear" w:color="000000" w:fill="ddebf7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474" w:customStyle="1">
    <w:name w:val="xl9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color w:val="ff0000"/>
      <w:sz w:val="20"/>
      <w:szCs w:val="20"/>
      <w:lang w:eastAsia="ru-RU"/>
    </w:rPr>
  </w:style>
  <w:style w:type="paragraph" w:styleId="3475" w:customStyle="1">
    <w:name w:val="xl91"/>
    <w:basedOn w:val="715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color w:val="ff0000"/>
      <w:sz w:val="20"/>
      <w:szCs w:val="20"/>
      <w:lang w:eastAsia="ru-RU"/>
    </w:rPr>
  </w:style>
  <w:style w:type="paragraph" w:styleId="3476" w:customStyle="1">
    <w:name w:val="xl92"/>
    <w:basedOn w:val="715"/>
    <w:pPr>
      <w:spacing w:before="100" w:beforeAutospacing="1" w:after="100" w:afterAutospacing="1"/>
      <w:pBdr>
        <w:top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77" w:customStyle="1">
    <w:name w:val="xl9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78" w:customStyle="1">
    <w:name w:val="font5"/>
    <w:basedOn w:val="715"/>
    <w:pPr>
      <w:spacing w:before="100" w:beforeAutospacing="1" w:after="100" w:afterAutospacing="1"/>
    </w:pPr>
    <w:rPr>
      <w:rFonts w:eastAsia="Times New Roman" w:cs="Times New Roman"/>
      <w:color w:val="000000"/>
      <w:sz w:val="18"/>
      <w:szCs w:val="18"/>
      <w:lang w:eastAsia="ru-RU"/>
    </w:rPr>
  </w:style>
  <w:style w:type="paragraph" w:styleId="3479" w:customStyle="1">
    <w:name w:val="font6"/>
    <w:basedOn w:val="715"/>
    <w:pPr>
      <w:spacing w:before="100" w:beforeAutospacing="1" w:after="100" w:afterAutospacing="1"/>
    </w:pPr>
    <w:rPr>
      <w:rFonts w:eastAsia="Times New Roman" w:cs="Times New Roman"/>
      <w:color w:val="000000"/>
      <w:sz w:val="18"/>
      <w:szCs w:val="18"/>
      <w:lang w:eastAsia="ru-RU"/>
    </w:rPr>
  </w:style>
  <w:style w:type="paragraph" w:styleId="3480" w:customStyle="1">
    <w:name w:val="xl6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81" w:customStyle="1">
    <w:name w:val="xl64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character" w:styleId="3482" w:customStyle="1">
    <w:name w:val="Заголовок 4 Знак"/>
    <w:basedOn w:val="720"/>
    <w:link w:val="719"/>
    <w:uiPriority w:val="9"/>
    <w:rPr>
      <w:rFonts w:asciiTheme="majorHAnsi" w:hAnsiTheme="majorHAnsi" w:eastAsiaTheme="majorEastAsia" w:cstheme="majorBidi"/>
      <w:i/>
      <w:iCs/>
      <w:color w:val="2e74b5" w:themeColor="accent1" w:themeShade="BF"/>
      <w:sz w:val="24"/>
    </w:rPr>
  </w:style>
  <w:style w:type="paragraph" w:styleId="3483" w:customStyle="1">
    <w:name w:val="Обычный 13 Знак"/>
    <w:basedOn w:val="715"/>
    <w:link w:val="3484"/>
    <w:pPr>
      <w:ind w:firstLine="567"/>
      <w:jc w:val="both"/>
      <w:keepLines/>
      <w:keepNext/>
      <w:spacing w:before="60"/>
      <w:widowControl w:val="off"/>
      <w:tabs>
        <w:tab w:val="left" w:pos="9356" w:leader="dot"/>
      </w:tabs>
      <w:suppressLineNumbers/>
    </w:pPr>
    <w:rPr>
      <w:rFonts w:eastAsia="Times New Roman" w:cs="Times New Roman"/>
      <w:sz w:val="26"/>
      <w:szCs w:val="20"/>
    </w:rPr>
  </w:style>
  <w:style w:type="character" w:styleId="3484" w:customStyle="1">
    <w:name w:val="Обычный 13 Знак Знак3"/>
    <w:link w:val="3483"/>
    <w:rPr>
      <w:rFonts w:ascii="Times New Roman" w:hAnsi="Times New Roman" w:eastAsia="Times New Roman" w:cs="Times New Roman"/>
      <w:sz w:val="26"/>
      <w:szCs w:val="20"/>
    </w:rPr>
  </w:style>
  <w:style w:type="paragraph" w:styleId="3485" w:customStyle="1">
    <w:name w:val="xl96"/>
    <w:basedOn w:val="715"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character" w:styleId="3486" w:customStyle="1">
    <w:name w:val="Без интервала Знак3"/>
    <w:link w:val="728"/>
    <w:uiPriority w:val="1"/>
    <w:rPr>
      <w:rFonts w:ascii="Times New Roman" w:hAnsi="Times New Roman"/>
      <w:sz w:val="24"/>
    </w:rPr>
  </w:style>
  <w:style w:type="character" w:styleId="3487" w:customStyle="1">
    <w:name w:val="apple-converted-space"/>
    <w:basedOn w:val="720"/>
  </w:style>
  <w:style w:type="character" w:styleId="3488" w:customStyle="1">
    <w:name w:val="header_aff6"/>
  </w:style>
  <w:style w:type="character" w:styleId="3489" w:customStyle="1">
    <w:name w:val="header_afff0"/>
  </w:style>
  <w:style w:type="paragraph" w:styleId="3490" w:customStyle="1">
    <w:name w:val="xl94"/>
    <w:basedOn w:val="715"/>
    <w:pPr>
      <w:jc w:val="center"/>
      <w:spacing w:before="100" w:beforeAutospacing="1" w:after="100" w:afterAutospacing="1"/>
      <w:shd w:val="clear" w:color="000000" w:fill="d9e2f3"/>
      <w:pBdr>
        <w:top w:val="single" w:color="000000" w:sz="4" w:space="0"/>
        <w:bottom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91" w:customStyle="1">
    <w:name w:val="xl95"/>
    <w:basedOn w:val="715"/>
    <w:pPr>
      <w:jc w:val="center"/>
      <w:spacing w:before="100" w:beforeAutospacing="1" w:after="100" w:afterAutospacing="1"/>
      <w:shd w:val="clear" w:color="000000" w:fill="d9e2f3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92" w:customStyle="1">
    <w:name w:val="xl97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93" w:customStyle="1">
    <w:name w:val="xl98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94" w:customStyle="1">
    <w:name w:val="xl100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95" w:customStyle="1">
    <w:name w:val="xl101"/>
    <w:basedOn w:val="715"/>
    <w:pPr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496" w:customStyle="1">
    <w:name w:val="xl102"/>
    <w:basedOn w:val="715"/>
    <w:pPr>
      <w:ind w:firstLine="100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7"/>
        <w:bottom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497" w:customStyle="1">
    <w:name w:val="xl103"/>
    <w:basedOn w:val="715"/>
    <w:pPr>
      <w:ind w:firstLine="100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498" w:customStyle="1">
    <w:name w:val="xl104"/>
    <w:basedOn w:val="715"/>
    <w:pPr>
      <w:ind w:firstLine="100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499" w:customStyle="1">
    <w:name w:val="xl105"/>
    <w:basedOn w:val="715"/>
    <w:pPr>
      <w:jc w:val="center"/>
      <w:spacing w:before="100" w:beforeAutospacing="1" w:after="100" w:afterAutospacing="1"/>
      <w:shd w:val="clear" w:color="000000" w:fill="d9e2f3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00" w:customStyle="1">
    <w:name w:val="xl106"/>
    <w:basedOn w:val="715"/>
    <w:pPr>
      <w:jc w:val="center"/>
      <w:spacing w:before="100" w:beforeAutospacing="1" w:after="100" w:afterAutospacing="1"/>
      <w:shd w:val="clear" w:color="000000" w:fill="d9e2f3"/>
      <w:pBdr>
        <w:top w:val="single" w:color="000000" w:sz="4" w:space="0"/>
        <w:bottom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01" w:customStyle="1">
    <w:name w:val="xl107"/>
    <w:basedOn w:val="715"/>
    <w:pPr>
      <w:jc w:val="center"/>
      <w:spacing w:before="100" w:beforeAutospacing="1" w:after="100" w:afterAutospacing="1"/>
      <w:shd w:val="clear" w:color="000000" w:fill="d9e2f3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02" w:customStyle="1">
    <w:name w:val="xl108"/>
    <w:basedOn w:val="715"/>
    <w:pPr>
      <w:jc w:val="center"/>
      <w:spacing w:before="100" w:beforeAutospacing="1" w:after="100" w:afterAutospacing="1"/>
      <w:shd w:val="clear" w:color="000000" w:fill="f2f2f2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03" w:customStyle="1">
    <w:name w:val="xl109"/>
    <w:basedOn w:val="715"/>
    <w:pPr>
      <w:jc w:val="center"/>
      <w:spacing w:before="100" w:beforeAutospacing="1" w:after="100" w:afterAutospacing="1"/>
      <w:shd w:val="clear" w:color="000000" w:fill="f2f2f2"/>
      <w:pBdr>
        <w:top w:val="single" w:color="000000" w:sz="4" w:space="0"/>
        <w:bottom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04" w:customStyle="1">
    <w:name w:val="xl110"/>
    <w:basedOn w:val="715"/>
    <w:pPr>
      <w:jc w:val="center"/>
      <w:spacing w:before="100" w:beforeAutospacing="1" w:after="100" w:afterAutospacing="1"/>
      <w:shd w:val="clear" w:color="000000" w:fill="f2f2f2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05" w:customStyle="1">
    <w:name w:val="xl111"/>
    <w:basedOn w:val="715"/>
    <w:pPr>
      <w:jc w:val="center"/>
      <w:spacing w:before="100" w:beforeAutospacing="1" w:after="100" w:afterAutospacing="1"/>
      <w:shd w:val="clear" w:color="000000" w:fill="f2f2f2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06" w:customStyle="1">
    <w:name w:val="xl112"/>
    <w:basedOn w:val="715"/>
    <w:pPr>
      <w:jc w:val="center"/>
      <w:spacing w:before="100" w:beforeAutospacing="1" w:after="100" w:afterAutospacing="1"/>
      <w:shd w:val="clear" w:color="000000" w:fill="f2f2f2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07" w:customStyle="1">
    <w:name w:val="xl113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508" w:customStyle="1">
    <w:name w:val="xl114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509" w:customStyle="1">
    <w:name w:val="xl115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510" w:customStyle="1">
    <w:name w:val="xl116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11" w:customStyle="1">
    <w:name w:val="xl117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12" w:customStyle="1">
    <w:name w:val="xl118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13" w:customStyle="1">
    <w:name w:val="xl119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14" w:customStyle="1">
    <w:name w:val="xl120"/>
    <w:basedOn w:val="715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15" w:customStyle="1">
    <w:name w:val="xl121"/>
    <w:basedOn w:val="715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16" w:customStyle="1">
    <w:name w:val="xl122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17" w:customStyle="1">
    <w:name w:val="xl123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18" w:customStyle="1">
    <w:name w:val="xl124"/>
    <w:basedOn w:val="715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character" w:styleId="3519" w:customStyle="1">
    <w:name w:val="Unresolved Mention"/>
    <w:basedOn w:val="720"/>
    <w:uiPriority w:val="99"/>
    <w:semiHidden/>
    <w:unhideWhenUsed/>
    <w:rPr>
      <w:color w:val="605e5c"/>
      <w:shd w:val="clear" w:color="auto" w:fill="e1dfdd"/>
    </w:rPr>
  </w:style>
  <w:style w:type="character" w:styleId="3520" w:customStyle="1">
    <w:name w:val="Заголовок 2 Знак143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521" w:customStyle="1">
    <w:name w:val="Верхний колонтитул Знак18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522" w:customStyle="1">
    <w:name w:val="Нижний колонтитул Знак119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523" w:customStyle="1">
    <w:name w:val="Заголовок 1 Знак138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524" w:customStyle="1">
    <w:name w:val="Заголовок 2 Знак142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525" w:customStyle="1">
    <w:name w:val="Заголовок 3 Знак17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526" w:customStyle="1">
    <w:name w:val="Нет списка117"/>
    <w:next w:val="722"/>
    <w:uiPriority w:val="99"/>
    <w:semiHidden/>
    <w:unhideWhenUsed/>
  </w:style>
  <w:style w:type="character" w:styleId="3527" w:customStyle="1">
    <w:name w:val="Основной текст Знак19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528" w:customStyle="1">
    <w:name w:val="Table Paragraph17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529" w:customStyle="1">
    <w:name w:val="Верхний колонтитул Знак17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530" w:customStyle="1">
    <w:name w:val="Нижний колонтитул Знак18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531" w:customStyle="1">
    <w:name w:val="Заголовок 2117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532" w:customStyle="1">
    <w:name w:val="Гипертекстовая ссылка17"/>
    <w:basedOn w:val="720"/>
    <w:uiPriority w:val="99"/>
    <w:rPr>
      <w:b w:val="0"/>
      <w:bCs w:val="0"/>
      <w:color w:val="106bbe"/>
    </w:rPr>
  </w:style>
  <w:style w:type="table" w:styleId="3533" w:customStyle="1">
    <w:name w:val="Table Normal17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534" w:customStyle="1">
    <w:name w:val="Сетка таблицы117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535" w:customStyle="1">
    <w:name w:val="Оглавление 1117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536" w:customStyle="1">
    <w:name w:val="Оглавление 2117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537" w:customStyle="1">
    <w:name w:val="Оглавление 3117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538" w:customStyle="1">
    <w:name w:val="Заголовок 1117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539" w:customStyle="1">
    <w:name w:val="Заголовок 3117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540" w:customStyle="1">
    <w:name w:val="Текст выноски Знак118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541" w:customStyle="1">
    <w:name w:val="Текст примечания Знак118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542" w:customStyle="1">
    <w:name w:val="Тема примечания Знак16"/>
    <w:basedOn w:val="3541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543" w:customStyle="1">
    <w:name w:val="xl651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544" w:customStyle="1">
    <w:name w:val="xl661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45" w:customStyle="1">
    <w:name w:val="xl671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46" w:customStyle="1">
    <w:name w:val="xl6817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47" w:customStyle="1">
    <w:name w:val="xl691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48" w:customStyle="1">
    <w:name w:val="xl7017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49" w:customStyle="1">
    <w:name w:val="xl711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550" w:customStyle="1">
    <w:name w:val="xl7217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551" w:customStyle="1">
    <w:name w:val="xl731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552" w:customStyle="1">
    <w:name w:val="xl741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553" w:customStyle="1">
    <w:name w:val="xl751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554" w:customStyle="1">
    <w:name w:val="xl761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55" w:customStyle="1">
    <w:name w:val="xl771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556" w:customStyle="1">
    <w:name w:val="xl781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557" w:customStyle="1">
    <w:name w:val="Заголовок 1 Знак18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558" w:customStyle="1">
    <w:name w:val="Заголовок 2 Знак19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559" w:customStyle="1">
    <w:name w:val="Заголовок 3 Знак16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560" w:customStyle="1">
    <w:name w:val="Нет списка116"/>
    <w:next w:val="722"/>
    <w:uiPriority w:val="99"/>
    <w:semiHidden/>
    <w:unhideWhenUsed/>
  </w:style>
  <w:style w:type="character" w:styleId="3561" w:customStyle="1">
    <w:name w:val="Основной текст Знак18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562" w:customStyle="1">
    <w:name w:val="Table Paragraph16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563" w:customStyle="1">
    <w:name w:val="Верхний колонтитул Знак16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564" w:customStyle="1">
    <w:name w:val="Нижний колонтитул Знак17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565" w:customStyle="1">
    <w:name w:val="Заголовок 2116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566" w:customStyle="1">
    <w:name w:val="Гипертекстовая ссылка16"/>
    <w:basedOn w:val="720"/>
    <w:uiPriority w:val="99"/>
    <w:rPr>
      <w:b w:val="0"/>
      <w:bCs w:val="0"/>
      <w:color w:val="106bbe"/>
    </w:rPr>
  </w:style>
  <w:style w:type="table" w:styleId="3567" w:customStyle="1">
    <w:name w:val="Table Normal16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568" w:customStyle="1">
    <w:name w:val="Сетка таблицы116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569" w:customStyle="1">
    <w:name w:val="Оглавление 1116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570" w:customStyle="1">
    <w:name w:val="Оглавление 2116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571" w:customStyle="1">
    <w:name w:val="Оглавление 3116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572" w:customStyle="1">
    <w:name w:val="Заголовок 1116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573" w:customStyle="1">
    <w:name w:val="Заголовок 3116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574" w:customStyle="1">
    <w:name w:val="Текст выноски Знак18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575" w:customStyle="1">
    <w:name w:val="Текст примечания Знак18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576" w:customStyle="1">
    <w:name w:val="Тема примечания Знак15"/>
    <w:basedOn w:val="3575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577" w:customStyle="1">
    <w:name w:val="xl651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578" w:customStyle="1">
    <w:name w:val="xl661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79" w:customStyle="1">
    <w:name w:val="xl6716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80" w:customStyle="1">
    <w:name w:val="xl6816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81" w:customStyle="1">
    <w:name w:val="xl691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82" w:customStyle="1">
    <w:name w:val="xl7016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83" w:customStyle="1">
    <w:name w:val="xl711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584" w:customStyle="1">
    <w:name w:val="xl7216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585" w:customStyle="1">
    <w:name w:val="xl731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586" w:customStyle="1">
    <w:name w:val="xl741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587" w:customStyle="1">
    <w:name w:val="xl751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588" w:customStyle="1">
    <w:name w:val="xl761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589" w:customStyle="1">
    <w:name w:val="xl771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590" w:customStyle="1">
    <w:name w:val="xl781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591" w:customStyle="1">
    <w:name w:val="Заголовок 1 Знак17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592" w:customStyle="1">
    <w:name w:val="Заголовок 2 Знак18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593" w:customStyle="1">
    <w:name w:val="Заголовок 3 Знак15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594" w:customStyle="1">
    <w:name w:val="Нет списка115"/>
    <w:next w:val="722"/>
    <w:uiPriority w:val="99"/>
    <w:semiHidden/>
    <w:unhideWhenUsed/>
  </w:style>
  <w:style w:type="character" w:styleId="3595" w:customStyle="1">
    <w:name w:val="Основной текст Знак17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596" w:customStyle="1">
    <w:name w:val="Table Paragraph15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597" w:customStyle="1">
    <w:name w:val="Верхний колонтитул Знак15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598" w:customStyle="1">
    <w:name w:val="Нижний колонтитул Знак16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599" w:customStyle="1">
    <w:name w:val="Заголовок 2115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600" w:customStyle="1">
    <w:name w:val="Гипертекстовая ссылка15"/>
    <w:basedOn w:val="720"/>
    <w:uiPriority w:val="99"/>
    <w:rPr>
      <w:b w:val="0"/>
      <w:bCs w:val="0"/>
      <w:color w:val="106bbe"/>
    </w:rPr>
  </w:style>
  <w:style w:type="table" w:styleId="3601" w:customStyle="1">
    <w:name w:val="Table Normal15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602" w:customStyle="1">
    <w:name w:val="Сетка таблицы115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603" w:customStyle="1">
    <w:name w:val="Оглавление 1115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604" w:customStyle="1">
    <w:name w:val="Оглавление 2115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605" w:customStyle="1">
    <w:name w:val="Оглавление 3115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606" w:customStyle="1">
    <w:name w:val="Заголовок 1115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607" w:customStyle="1">
    <w:name w:val="Заголовок 3115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608" w:customStyle="1">
    <w:name w:val="Текст выноски Знак17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609" w:customStyle="1">
    <w:name w:val="Текст примечания Знак17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610" w:customStyle="1">
    <w:name w:val="Тема примечания Знак14"/>
    <w:basedOn w:val="360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611" w:customStyle="1">
    <w:name w:val="xl651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612" w:customStyle="1">
    <w:name w:val="xl661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13" w:customStyle="1">
    <w:name w:val="xl6715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14" w:customStyle="1">
    <w:name w:val="xl6815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15" w:customStyle="1">
    <w:name w:val="xl691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16" w:customStyle="1">
    <w:name w:val="xl7015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17" w:customStyle="1">
    <w:name w:val="xl711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618" w:customStyle="1">
    <w:name w:val="xl7215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619" w:customStyle="1">
    <w:name w:val="xl731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620" w:customStyle="1">
    <w:name w:val="xl741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621" w:customStyle="1">
    <w:name w:val="xl751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622" w:customStyle="1">
    <w:name w:val="xl761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23" w:customStyle="1">
    <w:name w:val="xl771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624" w:customStyle="1">
    <w:name w:val="xl781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625" w:customStyle="1">
    <w:name w:val="Заголовок 1 Знак16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626" w:customStyle="1">
    <w:name w:val="Заголовок 2 Знак17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627" w:customStyle="1">
    <w:name w:val="Заголовок 3 Знак14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628" w:customStyle="1">
    <w:name w:val="Нет списка114"/>
    <w:next w:val="722"/>
    <w:uiPriority w:val="99"/>
    <w:semiHidden/>
    <w:unhideWhenUsed/>
  </w:style>
  <w:style w:type="character" w:styleId="3629" w:customStyle="1">
    <w:name w:val="Основной текст Знак16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630" w:customStyle="1">
    <w:name w:val="Table Paragraph14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631" w:customStyle="1">
    <w:name w:val="Верхний колонтитул Знак14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632" w:customStyle="1">
    <w:name w:val="Нижний колонтитул Знак15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633" w:customStyle="1">
    <w:name w:val="Заголовок 2114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634" w:customStyle="1">
    <w:name w:val="Гипертекстовая ссылка14"/>
    <w:basedOn w:val="720"/>
    <w:uiPriority w:val="99"/>
    <w:rPr>
      <w:b w:val="0"/>
      <w:bCs w:val="0"/>
      <w:color w:val="106bbe"/>
    </w:rPr>
  </w:style>
  <w:style w:type="table" w:styleId="3635" w:customStyle="1">
    <w:name w:val="Table Normal14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636" w:customStyle="1">
    <w:name w:val="Сетка таблицы114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637" w:customStyle="1">
    <w:name w:val="Оглавление 1114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638" w:customStyle="1">
    <w:name w:val="Оглавление 2114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639" w:customStyle="1">
    <w:name w:val="Оглавление 3114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640" w:customStyle="1">
    <w:name w:val="Заголовок 1114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641" w:customStyle="1">
    <w:name w:val="Заголовок 3114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642" w:customStyle="1">
    <w:name w:val="Текст выноски Знак16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643" w:customStyle="1">
    <w:name w:val="Текст примечания Знак16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644" w:customStyle="1">
    <w:name w:val="Тема примечания Знак13"/>
    <w:basedOn w:val="364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645" w:customStyle="1">
    <w:name w:val="xl651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646" w:customStyle="1">
    <w:name w:val="xl661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47" w:customStyle="1">
    <w:name w:val="xl6714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48" w:customStyle="1">
    <w:name w:val="xl6814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49" w:customStyle="1">
    <w:name w:val="xl691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50" w:customStyle="1">
    <w:name w:val="xl7014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51" w:customStyle="1">
    <w:name w:val="xl711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652" w:customStyle="1">
    <w:name w:val="xl7214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653" w:customStyle="1">
    <w:name w:val="xl731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654" w:customStyle="1">
    <w:name w:val="xl741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655" w:customStyle="1">
    <w:name w:val="xl751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656" w:customStyle="1">
    <w:name w:val="xl761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57" w:customStyle="1">
    <w:name w:val="xl771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658" w:customStyle="1">
    <w:name w:val="xl781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659" w:customStyle="1">
    <w:name w:val="Заголовок 1 Знак15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660" w:customStyle="1">
    <w:name w:val="Заголовок 2 Знак16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661" w:customStyle="1">
    <w:name w:val="Заголовок 3 Знак13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662" w:customStyle="1">
    <w:name w:val="Нет списка113"/>
    <w:next w:val="722"/>
    <w:uiPriority w:val="99"/>
    <w:semiHidden/>
    <w:unhideWhenUsed/>
  </w:style>
  <w:style w:type="character" w:styleId="3663" w:customStyle="1">
    <w:name w:val="Основной текст Знак15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664" w:customStyle="1">
    <w:name w:val="Table Paragraph13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665" w:customStyle="1">
    <w:name w:val="Верхний колонтитул Знак13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666" w:customStyle="1">
    <w:name w:val="Нижний колонтитул Знак14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667" w:customStyle="1">
    <w:name w:val="Заголовок 2113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668" w:customStyle="1">
    <w:name w:val="Гипертекстовая ссылка13"/>
    <w:basedOn w:val="720"/>
    <w:uiPriority w:val="99"/>
    <w:rPr>
      <w:b w:val="0"/>
      <w:bCs w:val="0"/>
      <w:color w:val="106bbe"/>
    </w:rPr>
  </w:style>
  <w:style w:type="table" w:styleId="3669" w:customStyle="1">
    <w:name w:val="Table Normal13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670" w:customStyle="1">
    <w:name w:val="Сетка таблицы113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671" w:customStyle="1">
    <w:name w:val="Оглавление 1113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672" w:customStyle="1">
    <w:name w:val="Оглавление 2113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673" w:customStyle="1">
    <w:name w:val="Оглавление 3113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674" w:customStyle="1">
    <w:name w:val="Заголовок 1113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675" w:customStyle="1">
    <w:name w:val="Заголовок 3113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676" w:customStyle="1">
    <w:name w:val="Текст выноски Знак15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677" w:customStyle="1">
    <w:name w:val="Текст примечания Знак15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678" w:customStyle="1">
    <w:name w:val="Тема примечания Знак12"/>
    <w:basedOn w:val="3677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679" w:customStyle="1">
    <w:name w:val="xl651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680" w:customStyle="1">
    <w:name w:val="xl661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81" w:customStyle="1">
    <w:name w:val="xl6713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82" w:customStyle="1">
    <w:name w:val="xl6813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83" w:customStyle="1">
    <w:name w:val="xl691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84" w:customStyle="1">
    <w:name w:val="xl7013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85" w:customStyle="1">
    <w:name w:val="xl711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686" w:customStyle="1">
    <w:name w:val="xl7213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687" w:customStyle="1">
    <w:name w:val="xl731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688" w:customStyle="1">
    <w:name w:val="xl741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689" w:customStyle="1">
    <w:name w:val="xl751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690" w:customStyle="1">
    <w:name w:val="xl761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691" w:customStyle="1">
    <w:name w:val="xl771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692" w:customStyle="1">
    <w:name w:val="xl781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693" w:customStyle="1">
    <w:name w:val="Заголовок 1 Знак14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694" w:customStyle="1">
    <w:name w:val="Заголовок 2 Знак15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695" w:customStyle="1">
    <w:name w:val="Текст примечания Знак14"/>
    <w:basedOn w:val="720"/>
    <w:uiPriority w:val="99"/>
    <w:semiHidden/>
    <w:rPr>
      <w:sz w:val="20"/>
      <w:szCs w:val="20"/>
    </w:rPr>
  </w:style>
  <w:style w:type="character" w:styleId="3696" w:customStyle="1">
    <w:name w:val="Текст выноски Знак14"/>
    <w:basedOn w:val="720"/>
    <w:uiPriority w:val="99"/>
    <w:semiHidden/>
    <w:rPr>
      <w:rFonts w:ascii="Segoe UI" w:hAnsi="Segoe UI" w:cs="Segoe UI"/>
      <w:sz w:val="18"/>
      <w:szCs w:val="18"/>
    </w:rPr>
  </w:style>
  <w:style w:type="character" w:styleId="3697" w:customStyle="1">
    <w:name w:val="Заголовок 1 Знак13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698" w:customStyle="1">
    <w:name w:val="Заголовок 2 Знак14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699" w:customStyle="1">
    <w:name w:val="Заголовок 3 Знак12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700" w:customStyle="1">
    <w:name w:val="Нет списка112"/>
    <w:next w:val="722"/>
    <w:uiPriority w:val="99"/>
    <w:semiHidden/>
    <w:unhideWhenUsed/>
  </w:style>
  <w:style w:type="character" w:styleId="3701" w:customStyle="1">
    <w:name w:val="Основной текст Знак14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702" w:customStyle="1">
    <w:name w:val="Table Paragraph12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703" w:customStyle="1">
    <w:name w:val="Верхний колонтитул Знак12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704" w:customStyle="1">
    <w:name w:val="Нижний колонтитул Знак13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705" w:customStyle="1">
    <w:name w:val="Заголовок 2112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706" w:customStyle="1">
    <w:name w:val="Гипертекстовая ссылка12"/>
    <w:basedOn w:val="720"/>
    <w:uiPriority w:val="99"/>
    <w:rPr>
      <w:b w:val="0"/>
      <w:bCs w:val="0"/>
      <w:color w:val="106bbe"/>
    </w:rPr>
  </w:style>
  <w:style w:type="table" w:styleId="3707" w:customStyle="1">
    <w:name w:val="Table Normal12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708" w:customStyle="1">
    <w:name w:val="Сетка таблицы112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709" w:customStyle="1">
    <w:name w:val="Оглавление 1112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710" w:customStyle="1">
    <w:name w:val="Оглавление 2112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711" w:customStyle="1">
    <w:name w:val="Оглавление 3112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712" w:customStyle="1">
    <w:name w:val="Заголовок 1112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713" w:customStyle="1">
    <w:name w:val="Заголовок 3112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714" w:customStyle="1">
    <w:name w:val="Текст выноски Знак13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715" w:customStyle="1">
    <w:name w:val="Текст примечания Знак13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716" w:customStyle="1">
    <w:name w:val="Тема примечания Знак11"/>
    <w:basedOn w:val="3715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717" w:customStyle="1">
    <w:name w:val="xl651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718" w:customStyle="1">
    <w:name w:val="xl661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19" w:customStyle="1">
    <w:name w:val="xl6712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20" w:customStyle="1">
    <w:name w:val="xl6812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21" w:customStyle="1">
    <w:name w:val="xl691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22" w:customStyle="1">
    <w:name w:val="xl7012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23" w:customStyle="1">
    <w:name w:val="xl711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724" w:customStyle="1">
    <w:name w:val="xl721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725" w:customStyle="1">
    <w:name w:val="xl731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726" w:customStyle="1">
    <w:name w:val="xl741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727" w:customStyle="1">
    <w:name w:val="xl751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728" w:customStyle="1">
    <w:name w:val="xl761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29" w:customStyle="1">
    <w:name w:val="xl771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730" w:customStyle="1">
    <w:name w:val="xl781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731" w:customStyle="1">
    <w:name w:val="Основной текст Знак21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732" w:customStyle="1">
    <w:name w:val="Заголовок 1 Знак12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733" w:customStyle="1">
    <w:name w:val="Заголовок 2 Знак13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734" w:customStyle="1">
    <w:name w:val="Заголовок 3 Знак11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735" w:customStyle="1">
    <w:name w:val="Нет списка111"/>
    <w:next w:val="722"/>
    <w:uiPriority w:val="99"/>
    <w:semiHidden/>
    <w:unhideWhenUsed/>
  </w:style>
  <w:style w:type="character" w:styleId="3736" w:customStyle="1">
    <w:name w:val="Основной текст Знак13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737" w:customStyle="1">
    <w:name w:val="Table Paragraph11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738" w:customStyle="1">
    <w:name w:val="Нижний колонтитул Знак12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739" w:customStyle="1">
    <w:name w:val="Заголовок 211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740" w:customStyle="1">
    <w:name w:val="Гипертекстовая ссылка11"/>
    <w:basedOn w:val="720"/>
    <w:uiPriority w:val="99"/>
    <w:rPr>
      <w:b w:val="0"/>
      <w:bCs w:val="0"/>
      <w:color w:val="106bbe"/>
    </w:rPr>
  </w:style>
  <w:style w:type="table" w:styleId="3741" w:customStyle="1">
    <w:name w:val="Table Normal11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742" w:customStyle="1">
    <w:name w:val="Сетка таблицы111"/>
    <w:basedOn w:val="721"/>
    <w:next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743" w:customStyle="1">
    <w:name w:val="Оглавление 11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744" w:customStyle="1">
    <w:name w:val="Оглавление 211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745" w:customStyle="1">
    <w:name w:val="Оглавление 311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746" w:customStyle="1">
    <w:name w:val="Заголовок 11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747" w:customStyle="1">
    <w:name w:val="Заголовок 311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748" w:customStyle="1">
    <w:name w:val="Текст выноски Знак12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749" w:customStyle="1">
    <w:name w:val="Текст примечания Знак12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750" w:customStyle="1">
    <w:name w:val="Текст примечания Знак10"/>
    <w:basedOn w:val="374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751" w:customStyle="1">
    <w:name w:val="xl651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752" w:customStyle="1">
    <w:name w:val="xl661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53" w:customStyle="1">
    <w:name w:val="xl6711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54" w:customStyle="1">
    <w:name w:val="xl6811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55" w:customStyle="1">
    <w:name w:val="xl691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56" w:customStyle="1">
    <w:name w:val="xl7011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57" w:customStyle="1">
    <w:name w:val="xl711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758" w:customStyle="1">
    <w:name w:val="xl7211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759" w:customStyle="1">
    <w:name w:val="xl731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760" w:customStyle="1">
    <w:name w:val="xl741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761" w:customStyle="1">
    <w:name w:val="xl751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762" w:customStyle="1">
    <w:name w:val="xl761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63" w:customStyle="1">
    <w:name w:val="xl771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764" w:customStyle="1">
    <w:name w:val="xl781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765" w:customStyle="1">
    <w:name w:val="Заголовок 1 Знак10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766" w:customStyle="1">
    <w:name w:val="Заголовок 3 Знак10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767" w:customStyle="1">
    <w:name w:val="Нет списка110"/>
    <w:next w:val="722"/>
    <w:uiPriority w:val="99"/>
    <w:semiHidden/>
    <w:unhideWhenUsed/>
  </w:style>
  <w:style w:type="character" w:styleId="3768" w:customStyle="1">
    <w:name w:val="Основной текст Знак12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769" w:customStyle="1">
    <w:name w:val="Table Paragraph10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770" w:customStyle="1">
    <w:name w:val="Нижний колонтитул Знак11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771" w:customStyle="1">
    <w:name w:val="Заголовок оглавления Знак"/>
    <w:basedOn w:val="720"/>
    <w:link w:val="1689"/>
    <w:uiPriority w:val="99"/>
    <w:rPr>
      <w:rFonts w:asciiTheme="majorHAnsi" w:hAnsiTheme="majorHAnsi" w:eastAsiaTheme="majorEastAsia" w:cstheme="majorBidi"/>
      <w:color w:val="2e74b5" w:themeColor="accent1" w:themeShade="BF"/>
      <w:sz w:val="28"/>
      <w:szCs w:val="28"/>
      <w:lang w:eastAsia="ru-RU"/>
    </w:rPr>
  </w:style>
  <w:style w:type="paragraph" w:styleId="3772" w:customStyle="1">
    <w:name w:val="Заголовок 2110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773" w:customStyle="1">
    <w:name w:val="Гипертекстовая ссылка10"/>
    <w:basedOn w:val="720"/>
    <w:uiPriority w:val="99"/>
    <w:rPr>
      <w:b w:val="0"/>
      <w:bCs w:val="0"/>
      <w:color w:val="106bbe"/>
    </w:rPr>
  </w:style>
  <w:style w:type="table" w:styleId="3774" w:customStyle="1">
    <w:name w:val="Table Normal10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775" w:customStyle="1">
    <w:name w:val="Сетка таблицы110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776" w:customStyle="1">
    <w:name w:val="Оглавление 1110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777" w:customStyle="1">
    <w:name w:val="Оглавление 2110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778" w:customStyle="1">
    <w:name w:val="Оглавление 3110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779" w:customStyle="1">
    <w:name w:val="Заголовок 1110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780" w:customStyle="1">
    <w:name w:val="Заголовок 3110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781" w:customStyle="1">
    <w:name w:val="Текст выноски Знак11"/>
    <w:basedOn w:val="720"/>
    <w:link w:val="92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782" w:customStyle="1">
    <w:name w:val="Тема примечания Знак17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783" w:customStyle="1">
    <w:name w:val="Тема примечания Знак10"/>
    <w:basedOn w:val="375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784" w:customStyle="1">
    <w:name w:val="xl651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785" w:customStyle="1">
    <w:name w:val="xl661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86" w:customStyle="1">
    <w:name w:val="xl6710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87" w:customStyle="1">
    <w:name w:val="xl6810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88" w:customStyle="1">
    <w:name w:val="xl691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89" w:customStyle="1">
    <w:name w:val="xl701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90" w:customStyle="1">
    <w:name w:val="xl711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791" w:customStyle="1">
    <w:name w:val="xl7210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792" w:customStyle="1">
    <w:name w:val="xl731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793" w:customStyle="1">
    <w:name w:val="xl741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794" w:customStyle="1">
    <w:name w:val="xl751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795" w:customStyle="1">
    <w:name w:val="xl761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796" w:customStyle="1">
    <w:name w:val="xl771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797" w:customStyle="1">
    <w:name w:val="xl781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table" w:styleId="3798" w:customStyle="1">
    <w:name w:val="Верхний колонтитул Знак21"/>
    <w:basedOn w:val="721"/>
    <w:uiPriority w:val="39"/>
    <w:pPr>
      <w:spacing w:after="0" w:line="240" w:lineRule="auto"/>
      <w:widowControl w:val="off"/>
    </w:pPr>
    <w:rPr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character" w:styleId="3799" w:customStyle="1">
    <w:name w:val="Основной текст Знак11"/>
    <w:basedOn w:val="720"/>
    <w:uiPriority w:val="1"/>
    <w:rPr>
      <w:rFonts w:ascii="Times New Roman" w:hAnsi="Times New Roman" w:eastAsia="Times New Roman"/>
      <w:sz w:val="24"/>
      <w:szCs w:val="24"/>
      <w:lang w:val="en-US"/>
    </w:rPr>
  </w:style>
  <w:style w:type="table" w:styleId="3800" w:customStyle="1">
    <w:name w:val="Верхний колонтитул Знак22"/>
    <w:basedOn w:val="721"/>
    <w:uiPriority w:val="39"/>
    <w:pPr>
      <w:spacing w:after="0" w:line="240" w:lineRule="auto"/>
      <w:widowControl w:val="off"/>
    </w:pPr>
    <w:rPr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styleId="3801" w:customStyle="1">
    <w:name w:val="Верхний колонтитул Знак23"/>
    <w:basedOn w:val="721"/>
    <w:uiPriority w:val="39"/>
    <w:pPr>
      <w:spacing w:after="0" w:line="240" w:lineRule="auto"/>
      <w:widowControl w:val="off"/>
    </w:pPr>
    <w:rPr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styleId="3802" w:customStyle="1">
    <w:name w:val="Верхний колонтитул Знак24"/>
    <w:basedOn w:val="721"/>
    <w:uiPriority w:val="39"/>
    <w:pPr>
      <w:spacing w:after="0" w:line="240" w:lineRule="auto"/>
      <w:widowControl w:val="off"/>
    </w:pPr>
    <w:rPr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styleId="3803" w:customStyle="1">
    <w:name w:val="Верхний колонтитул Знак25"/>
    <w:basedOn w:val="721"/>
    <w:uiPriority w:val="39"/>
    <w:pPr>
      <w:spacing w:after="0" w:line="240" w:lineRule="auto"/>
      <w:widowControl w:val="off"/>
    </w:pPr>
    <w:rPr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styleId="3804" w:customStyle="1">
    <w:name w:val="Сетка таблицы2"/>
    <w:basedOn w:val="72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805" w:customStyle="1">
    <w:name w:val="Основной текст Знак210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table" w:styleId="3806" w:customStyle="1">
    <w:name w:val="Сетка таблицы3"/>
    <w:basedOn w:val="72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3807" w:customStyle="1">
    <w:name w:val="Сетка таблицы4"/>
    <w:basedOn w:val="72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3808" w:customStyle="1">
    <w:name w:val="Сетка таблицы5"/>
    <w:basedOn w:val="72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809" w:customStyle="1">
    <w:name w:val="Верхний колонтитул Знак10"/>
    <w:uiPriority w:val="34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810" w:customStyle="1">
    <w:name w:val="Основной текст (16)_1"/>
    <w:rPr>
      <w:b/>
      <w:bCs/>
      <w:spacing w:val="-10"/>
      <w:sz w:val="18"/>
      <w:szCs w:val="18"/>
      <w:shd w:val="clear" w:color="auto" w:fill="ffffff"/>
    </w:rPr>
  </w:style>
  <w:style w:type="paragraph" w:styleId="3811" w:customStyle="1">
    <w:name w:val="Основной текст (16)1"/>
    <w:basedOn w:val="715"/>
    <w:pPr>
      <w:ind w:hanging="100"/>
      <w:jc w:val="both"/>
      <w:spacing w:after="60" w:line="240" w:lineRule="atLeast"/>
      <w:shd w:val="clear" w:color="auto" w:fill="ffffff"/>
    </w:pPr>
    <w:rPr>
      <w:rFonts w:asciiTheme="minorHAnsi" w:hAnsiTheme="minorHAnsi"/>
      <w:b/>
      <w:bCs/>
      <w:spacing w:val="-10"/>
      <w:sz w:val="18"/>
      <w:szCs w:val="18"/>
    </w:rPr>
  </w:style>
  <w:style w:type="character" w:styleId="3812" w:customStyle="1">
    <w:name w:val="Заголовок 2 Знак12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813" w:customStyle="1">
    <w:name w:val="Заголовок 2 Знак310"/>
    <w:basedOn w:val="720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814" w:customStyle="1">
    <w:name w:val="Заголовок 2 Знак141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815" w:customStyle="1">
    <w:name w:val="Верхний колонтитул Знак118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816" w:customStyle="1">
    <w:name w:val="Нижний колонтитул Знак118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817" w:customStyle="1">
    <w:name w:val="Заголовок 1 Знак137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818" w:customStyle="1">
    <w:name w:val="Заголовок 2 Знак140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819" w:customStyle="1">
    <w:name w:val="Заголовок 3 Знак9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820" w:customStyle="1">
    <w:name w:val="Нет списка19"/>
    <w:next w:val="722"/>
    <w:uiPriority w:val="99"/>
    <w:semiHidden/>
    <w:unhideWhenUsed/>
  </w:style>
  <w:style w:type="character" w:styleId="3821" w:customStyle="1">
    <w:name w:val="Основной текст Знак10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822" w:customStyle="1">
    <w:name w:val="Table Paragraph9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823" w:customStyle="1">
    <w:name w:val="Верхний колонтитул Знак9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824" w:customStyle="1">
    <w:name w:val="Нижний колонтитул Знак9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825" w:customStyle="1">
    <w:name w:val="Заголовок 219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826" w:customStyle="1">
    <w:name w:val="Гипертекстовая ссылка9"/>
    <w:basedOn w:val="720"/>
    <w:uiPriority w:val="99"/>
    <w:rPr>
      <w:b w:val="0"/>
      <w:bCs w:val="0"/>
      <w:color w:val="106bbe"/>
    </w:rPr>
  </w:style>
  <w:style w:type="table" w:styleId="3827" w:customStyle="1">
    <w:name w:val="Table Normal9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828" w:customStyle="1">
    <w:name w:val="Сетка таблицы19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829" w:customStyle="1">
    <w:name w:val="Оглавление 119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830" w:customStyle="1">
    <w:name w:val="Оглавление 219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831" w:customStyle="1">
    <w:name w:val="Оглавление 319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832" w:customStyle="1">
    <w:name w:val="Заголовок 119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833" w:customStyle="1">
    <w:name w:val="Заголовок 319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834" w:customStyle="1">
    <w:name w:val="Текст выноски Знак9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835" w:customStyle="1">
    <w:name w:val="Текст примечания Знак9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836" w:customStyle="1">
    <w:name w:val="Тема примечания Знак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837" w:customStyle="1">
    <w:name w:val="xl65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838" w:customStyle="1">
    <w:name w:val="xl66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39" w:customStyle="1">
    <w:name w:val="xl679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40" w:customStyle="1">
    <w:name w:val="xl689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41" w:customStyle="1">
    <w:name w:val="xl69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42" w:customStyle="1">
    <w:name w:val="xl709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43" w:customStyle="1">
    <w:name w:val="xl71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844" w:customStyle="1">
    <w:name w:val="xl729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845" w:customStyle="1">
    <w:name w:val="xl73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846" w:customStyle="1">
    <w:name w:val="xl74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847" w:customStyle="1">
    <w:name w:val="xl75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848" w:customStyle="1">
    <w:name w:val="xl76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49" w:customStyle="1">
    <w:name w:val="xl77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850" w:customStyle="1">
    <w:name w:val="xl78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851" w:customStyle="1">
    <w:name w:val="Заголовок 1 Знак136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852" w:customStyle="1">
    <w:name w:val="Заголовок 2 Знак139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853" w:customStyle="1">
    <w:name w:val="Заголовок 3 Знак8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854" w:customStyle="1">
    <w:name w:val="Нет списка18"/>
    <w:next w:val="722"/>
    <w:uiPriority w:val="99"/>
    <w:semiHidden/>
    <w:unhideWhenUsed/>
  </w:style>
  <w:style w:type="character" w:styleId="3855" w:customStyle="1">
    <w:name w:val="Основной текст Знак9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856" w:customStyle="1">
    <w:name w:val="Table Paragraph8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857" w:customStyle="1">
    <w:name w:val="Верхний колонтитул Знак8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858" w:customStyle="1">
    <w:name w:val="Нижний колонтитул Знак8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859" w:customStyle="1">
    <w:name w:val="Заголовок 218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860" w:customStyle="1">
    <w:name w:val="Гипертекстовая ссылка8"/>
    <w:basedOn w:val="720"/>
    <w:uiPriority w:val="99"/>
    <w:rPr>
      <w:b w:val="0"/>
      <w:bCs w:val="0"/>
      <w:color w:val="106bbe"/>
    </w:rPr>
  </w:style>
  <w:style w:type="table" w:styleId="3861" w:customStyle="1">
    <w:name w:val="Table Normal8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862" w:customStyle="1">
    <w:name w:val="Сетка таблицы18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863" w:customStyle="1">
    <w:name w:val="Оглавление 118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864" w:customStyle="1">
    <w:name w:val="Оглавление 218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865" w:customStyle="1">
    <w:name w:val="Оглавление 318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866" w:customStyle="1">
    <w:name w:val="Заголовок 118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867" w:customStyle="1">
    <w:name w:val="Заголовок 318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868" w:customStyle="1">
    <w:name w:val="Текст выноски Знак8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869" w:customStyle="1">
    <w:name w:val="Текст примечания Знак8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870" w:customStyle="1">
    <w:name w:val="Тема примечания Знак8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871" w:customStyle="1">
    <w:name w:val="xl65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872" w:customStyle="1">
    <w:name w:val="xl66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73" w:customStyle="1">
    <w:name w:val="xl678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74" w:customStyle="1">
    <w:name w:val="xl68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75" w:customStyle="1">
    <w:name w:val="xl69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76" w:customStyle="1">
    <w:name w:val="xl708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77" w:customStyle="1">
    <w:name w:val="xl71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878" w:customStyle="1">
    <w:name w:val="xl728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879" w:customStyle="1">
    <w:name w:val="xl73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880" w:customStyle="1">
    <w:name w:val="xl74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881" w:customStyle="1">
    <w:name w:val="xl75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882" w:customStyle="1">
    <w:name w:val="xl76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883" w:customStyle="1">
    <w:name w:val="xl77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884" w:customStyle="1">
    <w:name w:val="xl78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885" w:customStyle="1">
    <w:name w:val="Заголовок 1 Знак9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886" w:customStyle="1">
    <w:name w:val="Заголовок 2 Знак138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887" w:customStyle="1">
    <w:name w:val="Заголовок 3 Знак7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888" w:customStyle="1">
    <w:name w:val="Нет списка17"/>
    <w:next w:val="722"/>
    <w:uiPriority w:val="99"/>
    <w:semiHidden/>
    <w:unhideWhenUsed/>
  </w:style>
  <w:style w:type="character" w:styleId="3889" w:customStyle="1">
    <w:name w:val="Основной текст Знак8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890" w:customStyle="1">
    <w:name w:val="Table Paragraph7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891" w:customStyle="1">
    <w:name w:val="Верхний колонтитул Знак7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892" w:customStyle="1">
    <w:name w:val="Нижний колонтитул Знак7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893" w:customStyle="1">
    <w:name w:val="Заголовок 217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894" w:customStyle="1">
    <w:name w:val="Гипертекстовая ссылка7"/>
    <w:basedOn w:val="720"/>
    <w:uiPriority w:val="99"/>
    <w:rPr>
      <w:b w:val="0"/>
      <w:bCs w:val="0"/>
      <w:color w:val="106bbe"/>
    </w:rPr>
  </w:style>
  <w:style w:type="table" w:styleId="3895" w:customStyle="1">
    <w:name w:val="Table Normal7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896" w:customStyle="1">
    <w:name w:val="Сетка таблицы17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897" w:customStyle="1">
    <w:name w:val="Оглавление 117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898" w:customStyle="1">
    <w:name w:val="Оглавление 217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899" w:customStyle="1">
    <w:name w:val="Оглавление 317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900" w:customStyle="1">
    <w:name w:val="Заголовок 117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901" w:customStyle="1">
    <w:name w:val="Заголовок 317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902" w:customStyle="1">
    <w:name w:val="Текст выноски Знак7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903" w:customStyle="1">
    <w:name w:val="Текст примечания Знак7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904" w:customStyle="1">
    <w:name w:val="Тема примечания Знак7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905" w:customStyle="1">
    <w:name w:val="xl65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906" w:customStyle="1">
    <w:name w:val="xl66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07" w:customStyle="1">
    <w:name w:val="xl67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08" w:customStyle="1">
    <w:name w:val="xl687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09" w:customStyle="1">
    <w:name w:val="xl69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10" w:customStyle="1">
    <w:name w:val="xl707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11" w:customStyle="1">
    <w:name w:val="xl71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912" w:customStyle="1">
    <w:name w:val="xl727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913" w:customStyle="1">
    <w:name w:val="xl73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914" w:customStyle="1">
    <w:name w:val="xl74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915" w:customStyle="1">
    <w:name w:val="xl75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916" w:customStyle="1">
    <w:name w:val="xl76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17" w:customStyle="1">
    <w:name w:val="xl77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918" w:customStyle="1">
    <w:name w:val="xl78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919" w:customStyle="1">
    <w:name w:val="Заголовок 1 Знак8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920" w:customStyle="1">
    <w:name w:val="Заголовок 2 Знак10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3921" w:customStyle="1">
    <w:name w:val="Заголовок 3 Знак6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922" w:customStyle="1">
    <w:name w:val="Нет списка16"/>
    <w:next w:val="722"/>
    <w:uiPriority w:val="99"/>
    <w:semiHidden/>
    <w:unhideWhenUsed/>
  </w:style>
  <w:style w:type="character" w:styleId="3923" w:customStyle="1">
    <w:name w:val="Основной текст Знак7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924" w:customStyle="1">
    <w:name w:val="Table Paragraph6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925" w:customStyle="1">
    <w:name w:val="Верхний колонтитул Знак6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926" w:customStyle="1">
    <w:name w:val="Нижний колонтитул Знак6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927" w:customStyle="1">
    <w:name w:val="Заголовок 216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928" w:customStyle="1">
    <w:name w:val="Гипертекстовая ссылка6"/>
    <w:basedOn w:val="720"/>
    <w:uiPriority w:val="99"/>
    <w:rPr>
      <w:b w:val="0"/>
      <w:bCs w:val="0"/>
      <w:color w:val="106bbe"/>
    </w:rPr>
  </w:style>
  <w:style w:type="table" w:styleId="3929" w:customStyle="1">
    <w:name w:val="Table Normal6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930" w:customStyle="1">
    <w:name w:val="Сетка таблицы16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931" w:customStyle="1">
    <w:name w:val="Оглавление 116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932" w:customStyle="1">
    <w:name w:val="Оглавление 216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933" w:customStyle="1">
    <w:name w:val="Оглавление 316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934" w:customStyle="1">
    <w:name w:val="Заголовок 116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935" w:customStyle="1">
    <w:name w:val="Заголовок 316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936" w:customStyle="1">
    <w:name w:val="Текст выноски Знак6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937" w:customStyle="1">
    <w:name w:val="Текст примечания Знак6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938" w:customStyle="1">
    <w:name w:val="Тема примечания Знак6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939" w:customStyle="1">
    <w:name w:val="xl65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940" w:customStyle="1">
    <w:name w:val="xl66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41" w:customStyle="1">
    <w:name w:val="xl676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42" w:customStyle="1">
    <w:name w:val="xl686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43" w:customStyle="1">
    <w:name w:val="xl69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44" w:customStyle="1">
    <w:name w:val="xl706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45" w:customStyle="1">
    <w:name w:val="xl71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946" w:customStyle="1">
    <w:name w:val="xl726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947" w:customStyle="1">
    <w:name w:val="xl73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948" w:customStyle="1">
    <w:name w:val="xl74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949" w:customStyle="1">
    <w:name w:val="xl75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950" w:customStyle="1">
    <w:name w:val="xl76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51" w:customStyle="1">
    <w:name w:val="xl77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952" w:customStyle="1">
    <w:name w:val="xl78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953" w:customStyle="1">
    <w:name w:val="Заголовок 1 Знак7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954" w:customStyle="1">
    <w:name w:val="Заголовок 3 Знак5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955" w:customStyle="1">
    <w:name w:val="Нет списка15"/>
    <w:next w:val="722"/>
    <w:uiPriority w:val="99"/>
    <w:semiHidden/>
    <w:unhideWhenUsed/>
  </w:style>
  <w:style w:type="character" w:styleId="3956" w:customStyle="1">
    <w:name w:val="Основной текст Знак6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957" w:customStyle="1">
    <w:name w:val="Table Paragraph5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958" w:customStyle="1">
    <w:name w:val="Верхний колонтитул Знак5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959" w:customStyle="1">
    <w:name w:val="Нижний колонтитул Знак5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960" w:customStyle="1">
    <w:name w:val="Заголовок 215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961" w:customStyle="1">
    <w:name w:val="Гипертекстовая ссылка5"/>
    <w:basedOn w:val="720"/>
    <w:uiPriority w:val="99"/>
    <w:rPr>
      <w:b w:val="0"/>
      <w:bCs w:val="0"/>
      <w:color w:val="106bbe"/>
    </w:rPr>
  </w:style>
  <w:style w:type="table" w:styleId="3962" w:customStyle="1">
    <w:name w:val="Table Normal5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963" w:customStyle="1">
    <w:name w:val="Сетка таблицы15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964" w:customStyle="1">
    <w:name w:val="Оглавление 115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965" w:customStyle="1">
    <w:name w:val="Оглавление 215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3966" w:customStyle="1">
    <w:name w:val="Оглавление 315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3967" w:customStyle="1">
    <w:name w:val="Заголовок 115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3968" w:customStyle="1">
    <w:name w:val="Заголовок 315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3969" w:customStyle="1">
    <w:name w:val="Текст выноски Знак5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3970" w:customStyle="1">
    <w:name w:val="Текст примечания Знак5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971" w:customStyle="1">
    <w:name w:val="Тема примечания Знак5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3972" w:customStyle="1">
    <w:name w:val="xl65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973" w:customStyle="1">
    <w:name w:val="xl66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74" w:customStyle="1">
    <w:name w:val="xl675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75" w:customStyle="1">
    <w:name w:val="xl685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76" w:customStyle="1">
    <w:name w:val="xl69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77" w:customStyle="1">
    <w:name w:val="xl705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78" w:customStyle="1">
    <w:name w:val="xl71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3979" w:customStyle="1">
    <w:name w:val="xl725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3980" w:customStyle="1">
    <w:name w:val="xl73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981" w:customStyle="1">
    <w:name w:val="xl74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3982" w:customStyle="1">
    <w:name w:val="xl75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3983" w:customStyle="1">
    <w:name w:val="xl76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3984" w:customStyle="1">
    <w:name w:val="xl77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3985" w:customStyle="1">
    <w:name w:val="xl78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3986" w:customStyle="1">
    <w:name w:val="Заголовок 1 Знак11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987" w:customStyle="1">
    <w:name w:val="Заголовок 1 Знак6"/>
    <w:basedOn w:val="720"/>
    <w:uiPriority w:val="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988" w:customStyle="1">
    <w:name w:val="Заголовок 1 Знак5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3989" w:customStyle="1">
    <w:name w:val="Заголовок 3 Знак4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3990" w:customStyle="1">
    <w:name w:val="Нет списка14"/>
    <w:next w:val="722"/>
    <w:uiPriority w:val="99"/>
    <w:semiHidden/>
    <w:unhideWhenUsed/>
  </w:style>
  <w:style w:type="paragraph" w:styleId="3991" w:customStyle="1">
    <w:name w:val="Table Paragraph4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3992" w:customStyle="1">
    <w:name w:val="Верхний колонтитул Знак4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3993" w:customStyle="1">
    <w:name w:val="Нижний колонтитул Знак4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3994" w:customStyle="1">
    <w:name w:val="Заголовок 214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3995" w:customStyle="1">
    <w:name w:val="Гипертекстовая ссылка4"/>
    <w:basedOn w:val="720"/>
    <w:uiPriority w:val="99"/>
    <w:rPr>
      <w:b w:val="0"/>
      <w:bCs w:val="0"/>
      <w:color w:val="106bbe"/>
    </w:rPr>
  </w:style>
  <w:style w:type="table" w:styleId="3996" w:customStyle="1">
    <w:name w:val="Table Normal4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3997" w:customStyle="1">
    <w:name w:val="Сетка таблицы14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998" w:customStyle="1">
    <w:name w:val="Оглавление 114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3999" w:customStyle="1">
    <w:name w:val="Оглавление 214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000" w:customStyle="1">
    <w:name w:val="Оглавление 314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001" w:customStyle="1">
    <w:name w:val="Заголовок 114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002" w:customStyle="1">
    <w:name w:val="Заголовок 314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003" w:customStyle="1">
    <w:name w:val="Текст выноски Знак4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004" w:customStyle="1">
    <w:name w:val="Тема примечания Знак4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005" w:customStyle="1">
    <w:name w:val="xl65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006" w:customStyle="1">
    <w:name w:val="xl66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07" w:customStyle="1">
    <w:name w:val="xl674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08" w:customStyle="1">
    <w:name w:val="xl684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09" w:customStyle="1">
    <w:name w:val="xl69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10" w:customStyle="1">
    <w:name w:val="xl704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11" w:customStyle="1">
    <w:name w:val="xl71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012" w:customStyle="1">
    <w:name w:val="xl724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013" w:customStyle="1">
    <w:name w:val="xl73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014" w:customStyle="1">
    <w:name w:val="xl74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015" w:customStyle="1">
    <w:name w:val="xl75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016" w:customStyle="1">
    <w:name w:val="xl76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17" w:customStyle="1">
    <w:name w:val="xl77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018" w:customStyle="1">
    <w:name w:val="xl78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019" w:customStyle="1">
    <w:name w:val="Заголовок 3 Знак3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020" w:customStyle="1">
    <w:name w:val="Нет списка13"/>
    <w:next w:val="722"/>
    <w:uiPriority w:val="99"/>
    <w:semiHidden/>
    <w:unhideWhenUsed/>
  </w:style>
  <w:style w:type="paragraph" w:styleId="4021" w:customStyle="1">
    <w:name w:val="Table Paragraph3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022" w:customStyle="1">
    <w:name w:val="Верхний колонтитул Знак3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023" w:customStyle="1">
    <w:name w:val="Нижний колонтитул Знак3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024" w:customStyle="1">
    <w:name w:val="Заголовок 213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025" w:customStyle="1">
    <w:name w:val="Гипертекстовая ссылка3"/>
    <w:basedOn w:val="720"/>
    <w:uiPriority w:val="99"/>
    <w:rPr>
      <w:b w:val="0"/>
      <w:bCs w:val="0"/>
      <w:color w:val="106bbe"/>
    </w:rPr>
  </w:style>
  <w:style w:type="table" w:styleId="4026" w:customStyle="1">
    <w:name w:val="Table Normal3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027" w:customStyle="1">
    <w:name w:val="Сетка таблицы13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028" w:customStyle="1">
    <w:name w:val="Оглавление 113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029" w:customStyle="1">
    <w:name w:val="Оглавление 213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030" w:customStyle="1">
    <w:name w:val="Оглавление 313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031" w:customStyle="1">
    <w:name w:val="Заголовок 113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032" w:customStyle="1">
    <w:name w:val="Заголовок 313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033" w:customStyle="1">
    <w:name w:val="Текст выноски Знак3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034" w:customStyle="1">
    <w:name w:val="Тема примечания Знак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035" w:customStyle="1">
    <w:name w:val="xl65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036" w:customStyle="1">
    <w:name w:val="xl66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37" w:customStyle="1">
    <w:name w:val="xl673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38" w:customStyle="1">
    <w:name w:val="xl683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39" w:customStyle="1">
    <w:name w:val="xl69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40" w:customStyle="1">
    <w:name w:val="xl703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41" w:customStyle="1">
    <w:name w:val="xl71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042" w:customStyle="1">
    <w:name w:val="xl723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043" w:customStyle="1">
    <w:name w:val="xl73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044" w:customStyle="1">
    <w:name w:val="xl74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045" w:customStyle="1">
    <w:name w:val="xl75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046" w:customStyle="1">
    <w:name w:val="xl76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47" w:customStyle="1">
    <w:name w:val="xl77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048" w:customStyle="1">
    <w:name w:val="xl78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numbering" w:styleId="4049" w:customStyle="1">
    <w:name w:val="Нет списка12"/>
    <w:next w:val="722"/>
    <w:uiPriority w:val="99"/>
    <w:semiHidden/>
    <w:unhideWhenUsed/>
  </w:style>
  <w:style w:type="paragraph" w:styleId="4050" w:customStyle="1">
    <w:name w:val="Table Paragraph2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paragraph" w:styleId="4051" w:customStyle="1">
    <w:name w:val="Заголовок 212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052" w:customStyle="1">
    <w:name w:val="Гипертекстовая ссылка2"/>
    <w:basedOn w:val="720"/>
    <w:uiPriority w:val="99"/>
    <w:rPr>
      <w:b w:val="0"/>
      <w:bCs w:val="0"/>
      <w:color w:val="106bbe"/>
    </w:rPr>
  </w:style>
  <w:style w:type="table" w:styleId="4053" w:customStyle="1">
    <w:name w:val="Table Normal2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054" w:customStyle="1">
    <w:name w:val="Сетка таблицы12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055" w:customStyle="1">
    <w:name w:val="Оглавление 112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056" w:customStyle="1">
    <w:name w:val="Оглавление 212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057" w:customStyle="1">
    <w:name w:val="Оглавление 312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058" w:customStyle="1">
    <w:name w:val="Заголовок 112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059" w:customStyle="1">
    <w:name w:val="Заголовок 312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4060" w:customStyle="1">
    <w:name w:val="xl65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061" w:customStyle="1">
    <w:name w:val="xl66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62" w:customStyle="1">
    <w:name w:val="xl672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63" w:customStyle="1">
    <w:name w:val="xl682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64" w:customStyle="1">
    <w:name w:val="xl69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65" w:customStyle="1">
    <w:name w:val="xl702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66" w:customStyle="1">
    <w:name w:val="xl71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067" w:customStyle="1">
    <w:name w:val="xl72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068" w:customStyle="1">
    <w:name w:val="xl73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069" w:customStyle="1">
    <w:name w:val="xl74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070" w:customStyle="1">
    <w:name w:val="xl75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071" w:customStyle="1">
    <w:name w:val="xl76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72" w:customStyle="1">
    <w:name w:val="xl77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073" w:customStyle="1">
    <w:name w:val="xl78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numbering" w:styleId="4074" w:customStyle="1">
    <w:name w:val="Нет списка11"/>
    <w:next w:val="722"/>
    <w:uiPriority w:val="99"/>
    <w:semiHidden/>
    <w:unhideWhenUsed/>
  </w:style>
  <w:style w:type="paragraph" w:styleId="4075" w:customStyle="1">
    <w:name w:val="Table Paragraph1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paragraph" w:styleId="4076" w:customStyle="1">
    <w:name w:val="Заголовок 21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077" w:customStyle="1">
    <w:name w:val="Гипертекстовая ссылка1"/>
    <w:basedOn w:val="720"/>
    <w:uiPriority w:val="99"/>
    <w:rPr>
      <w:b w:val="0"/>
      <w:bCs w:val="0"/>
      <w:color w:val="106bbe"/>
    </w:rPr>
  </w:style>
  <w:style w:type="table" w:styleId="4078" w:customStyle="1">
    <w:name w:val="Table Normal1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079" w:customStyle="1">
    <w:name w:val="Сетка таблицы11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080" w:customStyle="1">
    <w:name w:val="Оглавление 1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081" w:customStyle="1">
    <w:name w:val="Оглавление 21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082" w:customStyle="1">
    <w:name w:val="Оглавление 31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083" w:customStyle="1">
    <w:name w:val="Заголовок 1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084" w:customStyle="1">
    <w:name w:val="Заголовок 31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4085" w:customStyle="1">
    <w:name w:val="xl65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086" w:customStyle="1">
    <w:name w:val="xl66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87" w:customStyle="1">
    <w:name w:val="xl671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88" w:customStyle="1">
    <w:name w:val="xl681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89" w:customStyle="1">
    <w:name w:val="xl69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90" w:customStyle="1">
    <w:name w:val="xl701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91" w:customStyle="1">
    <w:name w:val="xl71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092" w:customStyle="1">
    <w:name w:val="xl721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093" w:customStyle="1">
    <w:name w:val="xl73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094" w:customStyle="1">
    <w:name w:val="xl74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095" w:customStyle="1">
    <w:name w:val="xl75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096" w:customStyle="1">
    <w:name w:val="xl76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097" w:customStyle="1">
    <w:name w:val="xl77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098" w:customStyle="1">
    <w:name w:val="xl78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099" w:customStyle="1">
    <w:name w:val="Заголовок 1 Знак135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100" w:customStyle="1">
    <w:name w:val="Заголовок 2 Знак136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101" w:customStyle="1">
    <w:name w:val="Заголовок 3 Знак117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102" w:customStyle="1">
    <w:name w:val="Нет списка1117"/>
    <w:next w:val="722"/>
    <w:uiPriority w:val="99"/>
    <w:semiHidden/>
    <w:unhideWhenUsed/>
  </w:style>
  <w:style w:type="character" w:styleId="4103" w:customStyle="1">
    <w:name w:val="Основной текст Знак125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104" w:customStyle="1">
    <w:name w:val="Table Paragraph117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105" w:customStyle="1">
    <w:name w:val="Верхний колонтитул Знак117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106" w:customStyle="1">
    <w:name w:val="Нижний колонтитул Знак117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107" w:customStyle="1">
    <w:name w:val="Заголовок 21117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108" w:customStyle="1">
    <w:name w:val="Гипертекстовая ссылка117"/>
    <w:basedOn w:val="720"/>
    <w:uiPriority w:val="99"/>
    <w:rPr>
      <w:b w:val="0"/>
      <w:bCs w:val="0"/>
      <w:color w:val="106bbe"/>
    </w:rPr>
  </w:style>
  <w:style w:type="table" w:styleId="4109" w:customStyle="1">
    <w:name w:val="Table Normal117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110" w:customStyle="1">
    <w:name w:val="Сетка таблицы1117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111" w:customStyle="1">
    <w:name w:val="Оглавление 11117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112" w:customStyle="1">
    <w:name w:val="Оглавление 21117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113" w:customStyle="1">
    <w:name w:val="Оглавление 31117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114" w:customStyle="1">
    <w:name w:val="Заголовок 11117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115" w:customStyle="1">
    <w:name w:val="Заголовок 31117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116" w:customStyle="1">
    <w:name w:val="Текст выноски Знак117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117" w:customStyle="1">
    <w:name w:val="Текст примечания Знак117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118" w:customStyle="1">
    <w:name w:val="Тема примечания Знак117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119" w:customStyle="1">
    <w:name w:val="xl6511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120" w:customStyle="1">
    <w:name w:val="xl6611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21" w:customStyle="1">
    <w:name w:val="xl6711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22" w:customStyle="1">
    <w:name w:val="xl68117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23" w:customStyle="1">
    <w:name w:val="xl6911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24" w:customStyle="1">
    <w:name w:val="xl70117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25" w:customStyle="1">
    <w:name w:val="xl7111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126" w:customStyle="1">
    <w:name w:val="xl72117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127" w:customStyle="1">
    <w:name w:val="xl7311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128" w:customStyle="1">
    <w:name w:val="xl7411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129" w:customStyle="1">
    <w:name w:val="xl7511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130" w:customStyle="1">
    <w:name w:val="xl7611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31" w:customStyle="1">
    <w:name w:val="xl7711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132" w:customStyle="1">
    <w:name w:val="xl7811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133" w:customStyle="1">
    <w:name w:val="Заголовок 1 Знак134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134" w:customStyle="1">
    <w:name w:val="Заголовок 2 Знак135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135" w:customStyle="1">
    <w:name w:val="Заголовок 3 Знак116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136" w:customStyle="1">
    <w:name w:val="Нет списка1116"/>
    <w:next w:val="722"/>
    <w:uiPriority w:val="99"/>
    <w:semiHidden/>
    <w:unhideWhenUsed/>
  </w:style>
  <w:style w:type="character" w:styleId="4137" w:customStyle="1">
    <w:name w:val="Основной текст Знак124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138" w:customStyle="1">
    <w:name w:val="Table Paragraph116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139" w:customStyle="1">
    <w:name w:val="Верхний колонтитул Знак116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140" w:customStyle="1">
    <w:name w:val="Нижний колонтитул Знак116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141" w:customStyle="1">
    <w:name w:val="Заголовок 21116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142" w:customStyle="1">
    <w:name w:val="Гипертекстовая ссылка116"/>
    <w:basedOn w:val="720"/>
    <w:uiPriority w:val="99"/>
    <w:rPr>
      <w:b w:val="0"/>
      <w:bCs w:val="0"/>
      <w:color w:val="106bbe"/>
    </w:rPr>
  </w:style>
  <w:style w:type="table" w:styleId="4143" w:customStyle="1">
    <w:name w:val="Table Normal116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144" w:customStyle="1">
    <w:name w:val="Сетка таблицы1116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145" w:customStyle="1">
    <w:name w:val="Оглавление 11116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146" w:customStyle="1">
    <w:name w:val="Оглавление 21116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147" w:customStyle="1">
    <w:name w:val="Оглавление 31116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148" w:customStyle="1">
    <w:name w:val="Заголовок 11116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149" w:customStyle="1">
    <w:name w:val="Заголовок 31116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150" w:customStyle="1">
    <w:name w:val="Текст выноски Знак116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151" w:customStyle="1">
    <w:name w:val="Текст примечания Знак116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152" w:customStyle="1">
    <w:name w:val="Тема примечания Знак116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153" w:customStyle="1">
    <w:name w:val="xl6511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154" w:customStyle="1">
    <w:name w:val="xl6611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55" w:customStyle="1">
    <w:name w:val="xl67116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56" w:customStyle="1">
    <w:name w:val="xl68116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57" w:customStyle="1">
    <w:name w:val="xl6911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58" w:customStyle="1">
    <w:name w:val="xl70116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59" w:customStyle="1">
    <w:name w:val="xl7111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160" w:customStyle="1">
    <w:name w:val="xl72116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161" w:customStyle="1">
    <w:name w:val="xl7311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162" w:customStyle="1">
    <w:name w:val="xl7411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163" w:customStyle="1">
    <w:name w:val="xl7511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164" w:customStyle="1">
    <w:name w:val="xl7611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65" w:customStyle="1">
    <w:name w:val="xl7711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166" w:customStyle="1">
    <w:name w:val="xl7811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167" w:customStyle="1">
    <w:name w:val="Заголовок 1 Знак133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168" w:customStyle="1">
    <w:name w:val="Заголовок 2 Знак134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169" w:customStyle="1">
    <w:name w:val="Заголовок 3 Знак115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170" w:customStyle="1">
    <w:name w:val="Нет списка1115"/>
    <w:next w:val="722"/>
    <w:uiPriority w:val="99"/>
    <w:semiHidden/>
    <w:unhideWhenUsed/>
  </w:style>
  <w:style w:type="character" w:styleId="4171" w:customStyle="1">
    <w:name w:val="Основной текст Знак123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172" w:customStyle="1">
    <w:name w:val="Table Paragraph115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173" w:customStyle="1">
    <w:name w:val="Верхний колонтитул Знак115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174" w:customStyle="1">
    <w:name w:val="Нижний колонтитул Знак115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175" w:customStyle="1">
    <w:name w:val="Заголовок 21115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176" w:customStyle="1">
    <w:name w:val="Гипертекстовая ссылка115"/>
    <w:basedOn w:val="720"/>
    <w:uiPriority w:val="99"/>
    <w:rPr>
      <w:b w:val="0"/>
      <w:bCs w:val="0"/>
      <w:color w:val="106bbe"/>
    </w:rPr>
  </w:style>
  <w:style w:type="table" w:styleId="4177" w:customStyle="1">
    <w:name w:val="Table Normal115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178" w:customStyle="1">
    <w:name w:val="Сетка таблицы1115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179" w:customStyle="1">
    <w:name w:val="Оглавление 11115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180" w:customStyle="1">
    <w:name w:val="Оглавление 21115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181" w:customStyle="1">
    <w:name w:val="Оглавление 31115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182" w:customStyle="1">
    <w:name w:val="Заголовок 11115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183" w:customStyle="1">
    <w:name w:val="Заголовок 31115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184" w:customStyle="1">
    <w:name w:val="Текст выноски Знак115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185" w:customStyle="1">
    <w:name w:val="Текст примечания Знак115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186" w:customStyle="1">
    <w:name w:val="Тема примечания Знак115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187" w:customStyle="1">
    <w:name w:val="xl6511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188" w:customStyle="1">
    <w:name w:val="xl6611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89" w:customStyle="1">
    <w:name w:val="xl67115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90" w:customStyle="1">
    <w:name w:val="xl68115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91" w:customStyle="1">
    <w:name w:val="xl6911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92" w:customStyle="1">
    <w:name w:val="xl70115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93" w:customStyle="1">
    <w:name w:val="xl7111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194" w:customStyle="1">
    <w:name w:val="xl72115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195" w:customStyle="1">
    <w:name w:val="xl7311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196" w:customStyle="1">
    <w:name w:val="xl7411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197" w:customStyle="1">
    <w:name w:val="xl7511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198" w:customStyle="1">
    <w:name w:val="xl7611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199" w:customStyle="1">
    <w:name w:val="xl7711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200" w:customStyle="1">
    <w:name w:val="xl7811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201" w:customStyle="1">
    <w:name w:val="Заголовок 1 Знак132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202" w:customStyle="1">
    <w:name w:val="Заголовок 2 Знак133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203" w:customStyle="1">
    <w:name w:val="Заголовок 3 Знак114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204" w:customStyle="1">
    <w:name w:val="Нет списка1114"/>
    <w:next w:val="722"/>
    <w:uiPriority w:val="99"/>
    <w:semiHidden/>
    <w:unhideWhenUsed/>
  </w:style>
  <w:style w:type="character" w:styleId="4205" w:customStyle="1">
    <w:name w:val="Основной текст Знак122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206" w:customStyle="1">
    <w:name w:val="Table Paragraph114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207" w:customStyle="1">
    <w:name w:val="Верхний колонтитул Знак114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208" w:customStyle="1">
    <w:name w:val="Нижний колонтитул Знак114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209" w:customStyle="1">
    <w:name w:val="Заголовок 21114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210" w:customStyle="1">
    <w:name w:val="Гипертекстовая ссылка114"/>
    <w:basedOn w:val="720"/>
    <w:uiPriority w:val="99"/>
    <w:rPr>
      <w:b w:val="0"/>
      <w:bCs w:val="0"/>
      <w:color w:val="106bbe"/>
    </w:rPr>
  </w:style>
  <w:style w:type="table" w:styleId="4211" w:customStyle="1">
    <w:name w:val="Table Normal114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212" w:customStyle="1">
    <w:name w:val="Сетка таблицы1114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213" w:customStyle="1">
    <w:name w:val="Оглавление 11114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214" w:customStyle="1">
    <w:name w:val="Оглавление 21114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215" w:customStyle="1">
    <w:name w:val="Оглавление 31114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216" w:customStyle="1">
    <w:name w:val="Заголовок 11114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217" w:customStyle="1">
    <w:name w:val="Заголовок 31114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218" w:customStyle="1">
    <w:name w:val="Текст выноски Знак114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219" w:customStyle="1">
    <w:name w:val="Текст примечания Знак114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220" w:customStyle="1">
    <w:name w:val="Тема примечания Знак114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221" w:customStyle="1">
    <w:name w:val="xl6511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222" w:customStyle="1">
    <w:name w:val="xl6611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23" w:customStyle="1">
    <w:name w:val="xl67114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24" w:customStyle="1">
    <w:name w:val="xl68114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25" w:customStyle="1">
    <w:name w:val="xl6911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26" w:customStyle="1">
    <w:name w:val="xl70114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27" w:customStyle="1">
    <w:name w:val="xl7111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228" w:customStyle="1">
    <w:name w:val="xl72114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229" w:customStyle="1">
    <w:name w:val="xl7311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230" w:customStyle="1">
    <w:name w:val="xl7411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231" w:customStyle="1">
    <w:name w:val="xl7511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232" w:customStyle="1">
    <w:name w:val="xl7611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33" w:customStyle="1">
    <w:name w:val="xl7711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234" w:customStyle="1">
    <w:name w:val="xl7811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235" w:customStyle="1">
    <w:name w:val="Заголовок 1 Знак131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236" w:customStyle="1">
    <w:name w:val="Заголовок 2 Знак132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237" w:customStyle="1">
    <w:name w:val="Заголовок 3 Знак113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238" w:customStyle="1">
    <w:name w:val="Нет списка1113"/>
    <w:next w:val="722"/>
    <w:uiPriority w:val="99"/>
    <w:semiHidden/>
    <w:unhideWhenUsed/>
  </w:style>
  <w:style w:type="character" w:styleId="4239" w:customStyle="1">
    <w:name w:val="Основной текст Знак12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240" w:customStyle="1">
    <w:name w:val="Table Paragraph113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241" w:customStyle="1">
    <w:name w:val="Верхний колонтитул Знак113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242" w:customStyle="1">
    <w:name w:val="Нижний колонтитул Знак113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243" w:customStyle="1">
    <w:name w:val="Заголовок 21113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244" w:customStyle="1">
    <w:name w:val="Гипертекстовая ссылка113"/>
    <w:basedOn w:val="720"/>
    <w:uiPriority w:val="99"/>
    <w:rPr>
      <w:b w:val="0"/>
      <w:bCs w:val="0"/>
      <w:color w:val="106bbe"/>
    </w:rPr>
  </w:style>
  <w:style w:type="table" w:styleId="4245" w:customStyle="1">
    <w:name w:val="Table Normal113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246" w:customStyle="1">
    <w:name w:val="Сетка таблицы1113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247" w:customStyle="1">
    <w:name w:val="Оглавление 11113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248" w:customStyle="1">
    <w:name w:val="Оглавление 21113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249" w:customStyle="1">
    <w:name w:val="Оглавление 31113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250" w:customStyle="1">
    <w:name w:val="Заголовок 11113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251" w:customStyle="1">
    <w:name w:val="Заголовок 31113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252" w:customStyle="1">
    <w:name w:val="Текст выноски Знак113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253" w:customStyle="1">
    <w:name w:val="Текст примечания Знак113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254" w:customStyle="1">
    <w:name w:val="Тема примечания Знак11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255" w:customStyle="1">
    <w:name w:val="xl6511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256" w:customStyle="1">
    <w:name w:val="xl6611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57" w:customStyle="1">
    <w:name w:val="xl67113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58" w:customStyle="1">
    <w:name w:val="xl68113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59" w:customStyle="1">
    <w:name w:val="xl6911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60" w:customStyle="1">
    <w:name w:val="xl70113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61" w:customStyle="1">
    <w:name w:val="xl7111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262" w:customStyle="1">
    <w:name w:val="xl72113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263" w:customStyle="1">
    <w:name w:val="xl7311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264" w:customStyle="1">
    <w:name w:val="xl7411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265" w:customStyle="1">
    <w:name w:val="xl7511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266" w:customStyle="1">
    <w:name w:val="xl7611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67" w:customStyle="1">
    <w:name w:val="xl7711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268" w:customStyle="1">
    <w:name w:val="xl7811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269" w:customStyle="1">
    <w:name w:val="Заголовок 1 Знак130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270" w:customStyle="1">
    <w:name w:val="Заголовок 2 Знак131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271" w:customStyle="1">
    <w:name w:val="Заголовок 3 Знак112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272" w:customStyle="1">
    <w:name w:val="Нет списка1112"/>
    <w:next w:val="722"/>
    <w:uiPriority w:val="99"/>
    <w:semiHidden/>
    <w:unhideWhenUsed/>
  </w:style>
  <w:style w:type="character" w:styleId="4273" w:customStyle="1">
    <w:name w:val="Основной текст Знак120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274" w:customStyle="1">
    <w:name w:val="Table Paragraph112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275" w:customStyle="1">
    <w:name w:val="Верхний колонтитул Знак112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276" w:customStyle="1">
    <w:name w:val="Нижний колонтитул Знак112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277" w:customStyle="1">
    <w:name w:val="Заголовок 21112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278" w:customStyle="1">
    <w:name w:val="Гипертекстовая ссылка112"/>
    <w:basedOn w:val="720"/>
    <w:uiPriority w:val="99"/>
    <w:rPr>
      <w:b w:val="0"/>
      <w:bCs w:val="0"/>
      <w:color w:val="106bbe"/>
    </w:rPr>
  </w:style>
  <w:style w:type="table" w:styleId="4279" w:customStyle="1">
    <w:name w:val="Table Normal112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280" w:customStyle="1">
    <w:name w:val="Сетка таблицы1112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281" w:customStyle="1">
    <w:name w:val="Оглавление 11112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282" w:customStyle="1">
    <w:name w:val="Оглавление 21112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283" w:customStyle="1">
    <w:name w:val="Оглавление 31112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284" w:customStyle="1">
    <w:name w:val="Заголовок 11112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285" w:customStyle="1">
    <w:name w:val="Заголовок 31112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286" w:customStyle="1">
    <w:name w:val="Текст выноски Знак112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287" w:customStyle="1">
    <w:name w:val="Текст примечания Знак112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288" w:customStyle="1">
    <w:name w:val="Тема примечания Знак112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289" w:customStyle="1">
    <w:name w:val="xl6511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290" w:customStyle="1">
    <w:name w:val="xl6611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91" w:customStyle="1">
    <w:name w:val="xl67112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92" w:customStyle="1">
    <w:name w:val="xl68112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93" w:customStyle="1">
    <w:name w:val="xl6911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94" w:customStyle="1">
    <w:name w:val="xl70112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295" w:customStyle="1">
    <w:name w:val="xl7111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296" w:customStyle="1">
    <w:name w:val="xl7211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297" w:customStyle="1">
    <w:name w:val="xl7311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298" w:customStyle="1">
    <w:name w:val="xl7411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299" w:customStyle="1">
    <w:name w:val="xl7511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300" w:customStyle="1">
    <w:name w:val="xl7611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01" w:customStyle="1">
    <w:name w:val="xl7711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302" w:customStyle="1">
    <w:name w:val="xl7811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303" w:customStyle="1">
    <w:name w:val="Заголовок 1 Знак129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304" w:customStyle="1">
    <w:name w:val="Заголовок 2 Знак130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305" w:customStyle="1">
    <w:name w:val="Заголовок 3 Знак111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306" w:customStyle="1">
    <w:name w:val="Нет списка1111"/>
    <w:next w:val="722"/>
    <w:uiPriority w:val="99"/>
    <w:semiHidden/>
    <w:unhideWhenUsed/>
  </w:style>
  <w:style w:type="character" w:styleId="4307" w:customStyle="1">
    <w:name w:val="Основной текст Знак119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308" w:customStyle="1">
    <w:name w:val="Table Paragraph111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309" w:customStyle="1">
    <w:name w:val="Верхний колонтитул Знак111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310" w:customStyle="1">
    <w:name w:val="Нижний колонтитул Знак111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311" w:customStyle="1">
    <w:name w:val="Заголовок 2111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312" w:customStyle="1">
    <w:name w:val="Гипертекстовая ссылка111"/>
    <w:basedOn w:val="720"/>
    <w:uiPriority w:val="99"/>
    <w:rPr>
      <w:b w:val="0"/>
      <w:bCs w:val="0"/>
      <w:color w:val="106bbe"/>
    </w:rPr>
  </w:style>
  <w:style w:type="table" w:styleId="4313" w:customStyle="1">
    <w:name w:val="Table Normal111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314" w:customStyle="1">
    <w:name w:val="Сетка таблицы1111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315" w:customStyle="1">
    <w:name w:val="Оглавление 1111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316" w:customStyle="1">
    <w:name w:val="Оглавление 2111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317" w:customStyle="1">
    <w:name w:val="Оглавление 3111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318" w:customStyle="1">
    <w:name w:val="Заголовок 1111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319" w:customStyle="1">
    <w:name w:val="Заголовок 3111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320" w:customStyle="1">
    <w:name w:val="Текст выноски Знак111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321" w:customStyle="1">
    <w:name w:val="Текст примечания Знак11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322" w:customStyle="1">
    <w:name w:val="Тема примечания Знак111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323" w:customStyle="1">
    <w:name w:val="xl6511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324" w:customStyle="1">
    <w:name w:val="xl6611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25" w:customStyle="1">
    <w:name w:val="xl67111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26" w:customStyle="1">
    <w:name w:val="xl68111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27" w:customStyle="1">
    <w:name w:val="xl6911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28" w:customStyle="1">
    <w:name w:val="xl70111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29" w:customStyle="1">
    <w:name w:val="xl7111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330" w:customStyle="1">
    <w:name w:val="xl72111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331" w:customStyle="1">
    <w:name w:val="xl7311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332" w:customStyle="1">
    <w:name w:val="xl7411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333" w:customStyle="1">
    <w:name w:val="xl7511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334" w:customStyle="1">
    <w:name w:val="xl7611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35" w:customStyle="1">
    <w:name w:val="xl7711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336" w:customStyle="1">
    <w:name w:val="xl7811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337" w:customStyle="1">
    <w:name w:val="Заголовок 1 Знак128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338" w:customStyle="1">
    <w:name w:val="Заголовок 2 Знак129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339" w:customStyle="1">
    <w:name w:val="Заголовок 3 Знак110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340" w:customStyle="1">
    <w:name w:val="Нет списка1110"/>
    <w:next w:val="722"/>
    <w:uiPriority w:val="99"/>
    <w:semiHidden/>
    <w:unhideWhenUsed/>
  </w:style>
  <w:style w:type="character" w:styleId="4341" w:customStyle="1">
    <w:name w:val="Основной текст Знак118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342" w:customStyle="1">
    <w:name w:val="Table Paragraph110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343" w:customStyle="1">
    <w:name w:val="Верхний колонтитул Знак110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344" w:customStyle="1">
    <w:name w:val="Нижний колонтитул Знак110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345" w:customStyle="1">
    <w:name w:val="Заголовок 21110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346" w:customStyle="1">
    <w:name w:val="Гипертекстовая ссылка110"/>
    <w:basedOn w:val="720"/>
    <w:uiPriority w:val="99"/>
    <w:rPr>
      <w:b w:val="0"/>
      <w:bCs w:val="0"/>
      <w:color w:val="106bbe"/>
    </w:rPr>
  </w:style>
  <w:style w:type="table" w:styleId="4347" w:customStyle="1">
    <w:name w:val="Table Normal110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348" w:customStyle="1">
    <w:name w:val="Сетка таблицы1110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349" w:customStyle="1">
    <w:name w:val="Оглавление 11110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350" w:customStyle="1">
    <w:name w:val="Оглавление 21110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351" w:customStyle="1">
    <w:name w:val="Оглавление 31110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352" w:customStyle="1">
    <w:name w:val="Заголовок 11110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353" w:customStyle="1">
    <w:name w:val="Заголовок 31110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354" w:customStyle="1">
    <w:name w:val="Текст выноски Знак110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355" w:customStyle="1">
    <w:name w:val="Текст примечания Знак110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356" w:customStyle="1">
    <w:name w:val="Тема примечания Знак11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357" w:customStyle="1">
    <w:name w:val="xl6511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358" w:customStyle="1">
    <w:name w:val="xl6611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59" w:customStyle="1">
    <w:name w:val="xl67110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60" w:customStyle="1">
    <w:name w:val="xl68110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61" w:customStyle="1">
    <w:name w:val="xl6911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62" w:customStyle="1">
    <w:name w:val="xl7011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63" w:customStyle="1">
    <w:name w:val="xl7111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364" w:customStyle="1">
    <w:name w:val="xl72110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365" w:customStyle="1">
    <w:name w:val="xl7311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366" w:customStyle="1">
    <w:name w:val="xl7411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367" w:customStyle="1">
    <w:name w:val="xl7511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368" w:customStyle="1">
    <w:name w:val="xl7611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69" w:customStyle="1">
    <w:name w:val="xl7711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370" w:customStyle="1">
    <w:name w:val="xl7810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371" w:customStyle="1">
    <w:name w:val="Заголовок 1 Знак127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372" w:customStyle="1">
    <w:name w:val="Заголовок 2 Знак128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373" w:customStyle="1">
    <w:name w:val="Заголовок 3 Знак109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374" w:customStyle="1">
    <w:name w:val="Нет списка1109"/>
    <w:next w:val="722"/>
    <w:uiPriority w:val="99"/>
    <w:semiHidden/>
    <w:unhideWhenUsed/>
  </w:style>
  <w:style w:type="character" w:styleId="4375" w:customStyle="1">
    <w:name w:val="Основной текст Знак117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376" w:customStyle="1">
    <w:name w:val="Table Paragraph109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377" w:customStyle="1">
    <w:name w:val="Верхний колонтитул Знак109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378" w:customStyle="1">
    <w:name w:val="Нижний колонтитул Знак109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379" w:customStyle="1">
    <w:name w:val="Заголовок 21109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380" w:customStyle="1">
    <w:name w:val="Гипертекстовая ссылка109"/>
    <w:basedOn w:val="720"/>
    <w:uiPriority w:val="99"/>
    <w:rPr>
      <w:b w:val="0"/>
      <w:bCs w:val="0"/>
      <w:color w:val="106bbe"/>
    </w:rPr>
  </w:style>
  <w:style w:type="table" w:styleId="4381" w:customStyle="1">
    <w:name w:val="Table Normal109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382" w:customStyle="1">
    <w:name w:val="Сетка таблицы1109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383" w:customStyle="1">
    <w:name w:val="Оглавление 11109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384" w:customStyle="1">
    <w:name w:val="Оглавление 21109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385" w:customStyle="1">
    <w:name w:val="Оглавление 31109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386" w:customStyle="1">
    <w:name w:val="Заголовок 11109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387" w:customStyle="1">
    <w:name w:val="Заголовок 31109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388" w:customStyle="1">
    <w:name w:val="Текст выноски Знак109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389" w:customStyle="1">
    <w:name w:val="Текст примечания Знак109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390" w:customStyle="1">
    <w:name w:val="Тема примечания Знак10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391" w:customStyle="1">
    <w:name w:val="xl6510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392" w:customStyle="1">
    <w:name w:val="xl6610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93" w:customStyle="1">
    <w:name w:val="xl67109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94" w:customStyle="1">
    <w:name w:val="xl68109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95" w:customStyle="1">
    <w:name w:val="xl6910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96" w:customStyle="1">
    <w:name w:val="xl70109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397" w:customStyle="1">
    <w:name w:val="xl7110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398" w:customStyle="1">
    <w:name w:val="xl72109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399" w:customStyle="1">
    <w:name w:val="xl7310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400" w:customStyle="1">
    <w:name w:val="xl7410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401" w:customStyle="1">
    <w:name w:val="xl7510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402" w:customStyle="1">
    <w:name w:val="xl7610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03" w:customStyle="1">
    <w:name w:val="xl7710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404" w:customStyle="1">
    <w:name w:val="xl7810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405" w:customStyle="1">
    <w:name w:val="Заголовок 1 Знак126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406" w:customStyle="1">
    <w:name w:val="Заголовок 2 Знак127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407" w:customStyle="1">
    <w:name w:val="Заголовок 3 Знак108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408" w:customStyle="1">
    <w:name w:val="Нет списка1108"/>
    <w:next w:val="722"/>
    <w:uiPriority w:val="99"/>
    <w:semiHidden/>
    <w:unhideWhenUsed/>
  </w:style>
  <w:style w:type="character" w:styleId="4409" w:customStyle="1">
    <w:name w:val="Основной текст Знак109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410" w:customStyle="1">
    <w:name w:val="Table Paragraph108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411" w:customStyle="1">
    <w:name w:val="Верхний колонтитул Знак108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412" w:customStyle="1">
    <w:name w:val="Нижний колонтитул Знак108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413" w:customStyle="1">
    <w:name w:val="Заголовок 21108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414" w:customStyle="1">
    <w:name w:val="Гипертекстовая ссылка108"/>
    <w:basedOn w:val="720"/>
    <w:uiPriority w:val="99"/>
    <w:rPr>
      <w:b w:val="0"/>
      <w:bCs w:val="0"/>
      <w:color w:val="106bbe"/>
    </w:rPr>
  </w:style>
  <w:style w:type="table" w:styleId="4415" w:customStyle="1">
    <w:name w:val="Table Normal108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416" w:customStyle="1">
    <w:name w:val="Сетка таблицы1108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417" w:customStyle="1">
    <w:name w:val="Оглавление 11108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418" w:customStyle="1">
    <w:name w:val="Оглавление 21108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419" w:customStyle="1">
    <w:name w:val="Оглавление 31108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420" w:customStyle="1">
    <w:name w:val="Заголовок 11108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421" w:customStyle="1">
    <w:name w:val="Заголовок 31108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422" w:customStyle="1">
    <w:name w:val="Текст выноски Знак108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423" w:customStyle="1">
    <w:name w:val="Текст примечания Знак108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424" w:customStyle="1">
    <w:name w:val="Тема примечания Знак108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425" w:customStyle="1">
    <w:name w:val="xl6510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426" w:customStyle="1">
    <w:name w:val="xl6610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27" w:customStyle="1">
    <w:name w:val="xl67108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28" w:customStyle="1">
    <w:name w:val="xl6810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29" w:customStyle="1">
    <w:name w:val="xl6910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30" w:customStyle="1">
    <w:name w:val="xl70108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31" w:customStyle="1">
    <w:name w:val="xl7110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432" w:customStyle="1">
    <w:name w:val="xl72108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433" w:customStyle="1">
    <w:name w:val="xl7310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434" w:customStyle="1">
    <w:name w:val="xl7410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435" w:customStyle="1">
    <w:name w:val="xl7510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436" w:customStyle="1">
    <w:name w:val="xl7610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37" w:customStyle="1">
    <w:name w:val="xl7710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438" w:customStyle="1">
    <w:name w:val="xl7810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439" w:customStyle="1">
    <w:name w:val="Заголовок 1 Знак125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440" w:customStyle="1">
    <w:name w:val="Заголовок 2 Знак126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441" w:customStyle="1">
    <w:name w:val="Заголовок 3 Знак107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442" w:customStyle="1">
    <w:name w:val="Нет списка1107"/>
    <w:next w:val="722"/>
    <w:uiPriority w:val="99"/>
    <w:semiHidden/>
    <w:unhideWhenUsed/>
  </w:style>
  <w:style w:type="character" w:styleId="4443" w:customStyle="1">
    <w:name w:val="Основной текст Знак108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444" w:customStyle="1">
    <w:name w:val="Table Paragraph107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445" w:customStyle="1">
    <w:name w:val="Верхний колонтитул Знак107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446" w:customStyle="1">
    <w:name w:val="Нижний колонтитул Знак107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447" w:customStyle="1">
    <w:name w:val="Заголовок 21107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448" w:customStyle="1">
    <w:name w:val="Гипертекстовая ссылка107"/>
    <w:basedOn w:val="720"/>
    <w:uiPriority w:val="99"/>
    <w:rPr>
      <w:b w:val="0"/>
      <w:bCs w:val="0"/>
      <w:color w:val="106bbe"/>
    </w:rPr>
  </w:style>
  <w:style w:type="table" w:styleId="4449" w:customStyle="1">
    <w:name w:val="Table Normal107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450" w:customStyle="1">
    <w:name w:val="Сетка таблицы1107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451" w:customStyle="1">
    <w:name w:val="Оглавление 11107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452" w:customStyle="1">
    <w:name w:val="Оглавление 21107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453" w:customStyle="1">
    <w:name w:val="Оглавление 31107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454" w:customStyle="1">
    <w:name w:val="Заголовок 11107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455" w:customStyle="1">
    <w:name w:val="Заголовок 31107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456" w:customStyle="1">
    <w:name w:val="Текст выноски Знак107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457" w:customStyle="1">
    <w:name w:val="Текст примечания Знак107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458" w:customStyle="1">
    <w:name w:val="Тема примечания Знак107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459" w:customStyle="1">
    <w:name w:val="xl6510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460" w:customStyle="1">
    <w:name w:val="xl6610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61" w:customStyle="1">
    <w:name w:val="xl67107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62" w:customStyle="1">
    <w:name w:val="xl68107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63" w:customStyle="1">
    <w:name w:val="xl6910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64" w:customStyle="1">
    <w:name w:val="xl70107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65" w:customStyle="1">
    <w:name w:val="xl7110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466" w:customStyle="1">
    <w:name w:val="xl72107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467" w:customStyle="1">
    <w:name w:val="xl7310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468" w:customStyle="1">
    <w:name w:val="xl7410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469" w:customStyle="1">
    <w:name w:val="xl7510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470" w:customStyle="1">
    <w:name w:val="xl7610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71" w:customStyle="1">
    <w:name w:val="xl7710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472" w:customStyle="1">
    <w:name w:val="xl7810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473" w:customStyle="1">
    <w:name w:val="Заголовок 1 Знак124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474" w:customStyle="1">
    <w:name w:val="Заголовок 2 Знак125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475" w:customStyle="1">
    <w:name w:val="Заголовок 3 Знак106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476" w:customStyle="1">
    <w:name w:val="Нет списка1106"/>
    <w:next w:val="722"/>
    <w:uiPriority w:val="99"/>
    <w:semiHidden/>
    <w:unhideWhenUsed/>
  </w:style>
  <w:style w:type="character" w:styleId="4477" w:customStyle="1">
    <w:name w:val="Основной текст Знак107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478" w:customStyle="1">
    <w:name w:val="Table Paragraph106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479" w:customStyle="1">
    <w:name w:val="Верхний колонтитул Знак106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480" w:customStyle="1">
    <w:name w:val="Нижний колонтитул Знак106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481" w:customStyle="1">
    <w:name w:val="Заголовок 21106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482" w:customStyle="1">
    <w:name w:val="Гипертекстовая ссылка106"/>
    <w:basedOn w:val="720"/>
    <w:uiPriority w:val="99"/>
    <w:rPr>
      <w:b w:val="0"/>
      <w:bCs w:val="0"/>
      <w:color w:val="106bbe"/>
    </w:rPr>
  </w:style>
  <w:style w:type="table" w:styleId="4483" w:customStyle="1">
    <w:name w:val="Table Normal106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484" w:customStyle="1">
    <w:name w:val="Сетка таблицы1106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485" w:customStyle="1">
    <w:name w:val="Оглавление 11106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486" w:customStyle="1">
    <w:name w:val="Оглавление 21106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487" w:customStyle="1">
    <w:name w:val="Оглавление 31106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488" w:customStyle="1">
    <w:name w:val="Заголовок 11106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489" w:customStyle="1">
    <w:name w:val="Заголовок 31106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490" w:customStyle="1">
    <w:name w:val="Текст выноски Знак106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491" w:customStyle="1">
    <w:name w:val="Текст примечания Знак106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492" w:customStyle="1">
    <w:name w:val="Тема примечания Знак106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493" w:customStyle="1">
    <w:name w:val="xl6510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494" w:customStyle="1">
    <w:name w:val="xl6610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95" w:customStyle="1">
    <w:name w:val="xl67106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96" w:customStyle="1">
    <w:name w:val="xl68106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97" w:customStyle="1">
    <w:name w:val="xl6910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98" w:customStyle="1">
    <w:name w:val="xl70106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499" w:customStyle="1">
    <w:name w:val="xl7110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500" w:customStyle="1">
    <w:name w:val="xl72106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501" w:customStyle="1">
    <w:name w:val="xl7310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502" w:customStyle="1">
    <w:name w:val="xl7410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503" w:customStyle="1">
    <w:name w:val="xl7510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504" w:customStyle="1">
    <w:name w:val="xl76106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05" w:customStyle="1">
    <w:name w:val="xl77106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506" w:customStyle="1">
    <w:name w:val="xl7810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507" w:customStyle="1">
    <w:name w:val="Заголовок 1 Знак123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508" w:customStyle="1">
    <w:name w:val="Заголовок 2 Знак124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509" w:customStyle="1">
    <w:name w:val="Заголовок 3 Знак105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510" w:customStyle="1">
    <w:name w:val="Нет списка1105"/>
    <w:next w:val="722"/>
    <w:uiPriority w:val="99"/>
    <w:semiHidden/>
    <w:unhideWhenUsed/>
  </w:style>
  <w:style w:type="character" w:styleId="4511" w:customStyle="1">
    <w:name w:val="Основной текст Знак106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512" w:customStyle="1">
    <w:name w:val="Table Paragraph105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513" w:customStyle="1">
    <w:name w:val="Верхний колонтитул Знак105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514" w:customStyle="1">
    <w:name w:val="Нижний колонтитул Знак105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515" w:customStyle="1">
    <w:name w:val="Заголовок 21105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516" w:customStyle="1">
    <w:name w:val="Гипертекстовая ссылка105"/>
    <w:basedOn w:val="720"/>
    <w:uiPriority w:val="99"/>
    <w:rPr>
      <w:b w:val="0"/>
      <w:bCs w:val="0"/>
      <w:color w:val="106bbe"/>
    </w:rPr>
  </w:style>
  <w:style w:type="table" w:styleId="4517" w:customStyle="1">
    <w:name w:val="Table Normal105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518" w:customStyle="1">
    <w:name w:val="Сетка таблицы1105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519" w:customStyle="1">
    <w:name w:val="Оглавление 11105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520" w:customStyle="1">
    <w:name w:val="Оглавление 21105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521" w:customStyle="1">
    <w:name w:val="Оглавление 31105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522" w:customStyle="1">
    <w:name w:val="Заголовок 11105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523" w:customStyle="1">
    <w:name w:val="Заголовок 31105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524" w:customStyle="1">
    <w:name w:val="Текст выноски Знак105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525" w:customStyle="1">
    <w:name w:val="Текст примечания Знак105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526" w:customStyle="1">
    <w:name w:val="Тема примечания Знак105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527" w:customStyle="1">
    <w:name w:val="xl6510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528" w:customStyle="1">
    <w:name w:val="xl6610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29" w:customStyle="1">
    <w:name w:val="xl67105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30" w:customStyle="1">
    <w:name w:val="xl68105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31" w:customStyle="1">
    <w:name w:val="xl6910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32" w:customStyle="1">
    <w:name w:val="xl70105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33" w:customStyle="1">
    <w:name w:val="xl7110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534" w:customStyle="1">
    <w:name w:val="xl72105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535" w:customStyle="1">
    <w:name w:val="xl7310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536" w:customStyle="1">
    <w:name w:val="xl7410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537" w:customStyle="1">
    <w:name w:val="xl7510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538" w:customStyle="1">
    <w:name w:val="xl76105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39" w:customStyle="1">
    <w:name w:val="xl77105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540" w:customStyle="1">
    <w:name w:val="xl7810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541" w:customStyle="1">
    <w:name w:val="Заголовок 1 Знак122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542" w:customStyle="1">
    <w:name w:val="Заголовок 2 Знак123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543" w:customStyle="1">
    <w:name w:val="Заголовок 3 Знак104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544" w:customStyle="1">
    <w:name w:val="Нет списка1104"/>
    <w:next w:val="722"/>
    <w:uiPriority w:val="99"/>
    <w:semiHidden/>
    <w:unhideWhenUsed/>
  </w:style>
  <w:style w:type="character" w:styleId="4545" w:customStyle="1">
    <w:name w:val="Основной текст Знак105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546" w:customStyle="1">
    <w:name w:val="Table Paragraph104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547" w:customStyle="1">
    <w:name w:val="Верхний колонтитул Знак104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548" w:customStyle="1">
    <w:name w:val="Нижний колонтитул Знак104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549" w:customStyle="1">
    <w:name w:val="Заголовок 21104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550" w:customStyle="1">
    <w:name w:val="Гипертекстовая ссылка104"/>
    <w:basedOn w:val="720"/>
    <w:uiPriority w:val="99"/>
    <w:rPr>
      <w:b w:val="0"/>
      <w:bCs w:val="0"/>
      <w:color w:val="106bbe"/>
    </w:rPr>
  </w:style>
  <w:style w:type="table" w:styleId="4551" w:customStyle="1">
    <w:name w:val="Table Normal104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552" w:customStyle="1">
    <w:name w:val="Сетка таблицы1104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553" w:customStyle="1">
    <w:name w:val="Оглавление 11104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554" w:customStyle="1">
    <w:name w:val="Оглавление 21104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555" w:customStyle="1">
    <w:name w:val="Оглавление 31104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556" w:customStyle="1">
    <w:name w:val="Заголовок 11104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557" w:customStyle="1">
    <w:name w:val="Заголовок 31104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558" w:customStyle="1">
    <w:name w:val="Текст выноски Знак104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559" w:customStyle="1">
    <w:name w:val="Текст примечания Знак104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560" w:customStyle="1">
    <w:name w:val="Тема примечания Знак104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561" w:customStyle="1">
    <w:name w:val="xl6510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562" w:customStyle="1">
    <w:name w:val="xl6610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63" w:customStyle="1">
    <w:name w:val="xl67104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64" w:customStyle="1">
    <w:name w:val="xl68104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65" w:customStyle="1">
    <w:name w:val="xl6910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66" w:customStyle="1">
    <w:name w:val="xl70104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67" w:customStyle="1">
    <w:name w:val="xl7110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568" w:customStyle="1">
    <w:name w:val="xl72104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569" w:customStyle="1">
    <w:name w:val="xl7310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570" w:customStyle="1">
    <w:name w:val="xl7410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571" w:customStyle="1">
    <w:name w:val="xl7510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572" w:customStyle="1">
    <w:name w:val="xl76104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73" w:customStyle="1">
    <w:name w:val="xl77104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574" w:customStyle="1">
    <w:name w:val="xl7810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575" w:customStyle="1">
    <w:name w:val="Заголовок 1 Знак121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576" w:customStyle="1">
    <w:name w:val="Заголовок 2 Знак122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577" w:customStyle="1">
    <w:name w:val="Заголовок 3 Знак103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578" w:customStyle="1">
    <w:name w:val="Нет списка1103"/>
    <w:next w:val="722"/>
    <w:uiPriority w:val="99"/>
    <w:semiHidden/>
    <w:unhideWhenUsed/>
  </w:style>
  <w:style w:type="character" w:styleId="4579" w:customStyle="1">
    <w:name w:val="Основной текст Знак104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580" w:customStyle="1">
    <w:name w:val="Table Paragraph103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581" w:customStyle="1">
    <w:name w:val="Верхний колонтитул Знак103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582" w:customStyle="1">
    <w:name w:val="Нижний колонтитул Знак103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583" w:customStyle="1">
    <w:name w:val="Заголовок 21103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584" w:customStyle="1">
    <w:name w:val="Гипертекстовая ссылка103"/>
    <w:basedOn w:val="720"/>
    <w:uiPriority w:val="99"/>
    <w:rPr>
      <w:b w:val="0"/>
      <w:bCs w:val="0"/>
      <w:color w:val="106bbe"/>
    </w:rPr>
  </w:style>
  <w:style w:type="table" w:styleId="4585" w:customStyle="1">
    <w:name w:val="Table Normal103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586" w:customStyle="1">
    <w:name w:val="Сетка таблицы1103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587" w:customStyle="1">
    <w:name w:val="Оглавление 11103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588" w:customStyle="1">
    <w:name w:val="Оглавление 21103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589" w:customStyle="1">
    <w:name w:val="Оглавление 31103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590" w:customStyle="1">
    <w:name w:val="Заголовок 11103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591" w:customStyle="1">
    <w:name w:val="Заголовок 31103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592" w:customStyle="1">
    <w:name w:val="Текст выноски Знак103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593" w:customStyle="1">
    <w:name w:val="Текст примечания Знак103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594" w:customStyle="1">
    <w:name w:val="Тема примечания Знак10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595" w:customStyle="1">
    <w:name w:val="xl6510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596" w:customStyle="1">
    <w:name w:val="xl6610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97" w:customStyle="1">
    <w:name w:val="xl67103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98" w:customStyle="1">
    <w:name w:val="xl68103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599" w:customStyle="1">
    <w:name w:val="xl6910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00" w:customStyle="1">
    <w:name w:val="xl70103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01" w:customStyle="1">
    <w:name w:val="xl7110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602" w:customStyle="1">
    <w:name w:val="xl72103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603" w:customStyle="1">
    <w:name w:val="xl7310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604" w:customStyle="1">
    <w:name w:val="xl7410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605" w:customStyle="1">
    <w:name w:val="xl7510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606" w:customStyle="1">
    <w:name w:val="xl76103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07" w:customStyle="1">
    <w:name w:val="xl77103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608" w:customStyle="1">
    <w:name w:val="xl7810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609" w:customStyle="1">
    <w:name w:val="Заголовок 1 Знак120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610" w:customStyle="1">
    <w:name w:val="Заголовок 2 Знак121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611" w:customStyle="1">
    <w:name w:val="Заголовок 3 Знак102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612" w:customStyle="1">
    <w:name w:val="Нет списка1102"/>
    <w:next w:val="722"/>
    <w:uiPriority w:val="99"/>
    <w:semiHidden/>
    <w:unhideWhenUsed/>
  </w:style>
  <w:style w:type="character" w:styleId="4613" w:customStyle="1">
    <w:name w:val="Основной текст Знак103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614" w:customStyle="1">
    <w:name w:val="Table Paragraph102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615" w:customStyle="1">
    <w:name w:val="Верхний колонтитул Знак102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616" w:customStyle="1">
    <w:name w:val="Нижний колонтитул Знак102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617" w:customStyle="1">
    <w:name w:val="Заголовок 21102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618" w:customStyle="1">
    <w:name w:val="Гипертекстовая ссылка102"/>
    <w:basedOn w:val="720"/>
    <w:uiPriority w:val="99"/>
    <w:rPr>
      <w:b w:val="0"/>
      <w:bCs w:val="0"/>
      <w:color w:val="106bbe"/>
    </w:rPr>
  </w:style>
  <w:style w:type="table" w:styleId="4619" w:customStyle="1">
    <w:name w:val="Table Normal102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620" w:customStyle="1">
    <w:name w:val="Сетка таблицы1102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621" w:customStyle="1">
    <w:name w:val="Оглавление 11102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622" w:customStyle="1">
    <w:name w:val="Оглавление 21102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623" w:customStyle="1">
    <w:name w:val="Оглавление 31102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624" w:customStyle="1">
    <w:name w:val="Заголовок 11102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625" w:customStyle="1">
    <w:name w:val="Заголовок 31102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626" w:customStyle="1">
    <w:name w:val="Текст выноски Знак102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627" w:customStyle="1">
    <w:name w:val="Текст примечания Знак102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628" w:customStyle="1">
    <w:name w:val="Тема примечания Знак102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629" w:customStyle="1">
    <w:name w:val="xl6510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630" w:customStyle="1">
    <w:name w:val="xl6610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31" w:customStyle="1">
    <w:name w:val="xl67102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32" w:customStyle="1">
    <w:name w:val="xl68102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33" w:customStyle="1">
    <w:name w:val="xl6910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34" w:customStyle="1">
    <w:name w:val="xl70102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35" w:customStyle="1">
    <w:name w:val="xl7110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636" w:customStyle="1">
    <w:name w:val="xl72102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637" w:customStyle="1">
    <w:name w:val="xl7310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638" w:customStyle="1">
    <w:name w:val="xl7410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639" w:customStyle="1">
    <w:name w:val="xl7510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640" w:customStyle="1">
    <w:name w:val="xl76102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41" w:customStyle="1">
    <w:name w:val="xl77102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642" w:customStyle="1">
    <w:name w:val="xl7810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643" w:customStyle="1">
    <w:name w:val="Заголовок 1 Знак119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644" w:customStyle="1">
    <w:name w:val="Заголовок 2 Знак120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645" w:customStyle="1">
    <w:name w:val="Заголовок 3 Знак101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646" w:customStyle="1">
    <w:name w:val="Нет списка1101"/>
    <w:next w:val="722"/>
    <w:uiPriority w:val="99"/>
    <w:semiHidden/>
    <w:unhideWhenUsed/>
  </w:style>
  <w:style w:type="character" w:styleId="4647" w:customStyle="1">
    <w:name w:val="Основной текст Знак102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648" w:customStyle="1">
    <w:name w:val="Table Paragraph101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649" w:customStyle="1">
    <w:name w:val="Верхний колонтитул Знак101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650" w:customStyle="1">
    <w:name w:val="Нижний колонтитул Знак101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651" w:customStyle="1">
    <w:name w:val="Заголовок 21101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652" w:customStyle="1">
    <w:name w:val="Гипертекстовая ссылка101"/>
    <w:basedOn w:val="720"/>
    <w:uiPriority w:val="99"/>
    <w:rPr>
      <w:b w:val="0"/>
      <w:bCs w:val="0"/>
      <w:color w:val="106bbe"/>
    </w:rPr>
  </w:style>
  <w:style w:type="table" w:styleId="4653" w:customStyle="1">
    <w:name w:val="Table Normal101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654" w:customStyle="1">
    <w:name w:val="Сетка таблицы1101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655" w:customStyle="1">
    <w:name w:val="Оглавление 11101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656" w:customStyle="1">
    <w:name w:val="Оглавление 21101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657" w:customStyle="1">
    <w:name w:val="Оглавление 31101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658" w:customStyle="1">
    <w:name w:val="Заголовок 11101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659" w:customStyle="1">
    <w:name w:val="Заголовок 31101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660" w:customStyle="1">
    <w:name w:val="Текст выноски Знак101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661" w:customStyle="1">
    <w:name w:val="Текст примечания Знак101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662" w:customStyle="1">
    <w:name w:val="Тема примечания Знак101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663" w:customStyle="1">
    <w:name w:val="xl6510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664" w:customStyle="1">
    <w:name w:val="xl6610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65" w:customStyle="1">
    <w:name w:val="xl67101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66" w:customStyle="1">
    <w:name w:val="xl68101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67" w:customStyle="1">
    <w:name w:val="xl6910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68" w:customStyle="1">
    <w:name w:val="xl70101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69" w:customStyle="1">
    <w:name w:val="xl7110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670" w:customStyle="1">
    <w:name w:val="xl72101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671" w:customStyle="1">
    <w:name w:val="xl7310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672" w:customStyle="1">
    <w:name w:val="xl7410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673" w:customStyle="1">
    <w:name w:val="xl7510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674" w:customStyle="1">
    <w:name w:val="xl76101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75" w:customStyle="1">
    <w:name w:val="xl77101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676" w:customStyle="1">
    <w:name w:val="xl7810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677" w:customStyle="1">
    <w:name w:val="Заголовок 1 Знак118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678" w:customStyle="1">
    <w:name w:val="Заголовок 2 Знак119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679" w:customStyle="1">
    <w:name w:val="Заголовок 3 Знак100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680" w:customStyle="1">
    <w:name w:val="Нет списка1100"/>
    <w:next w:val="722"/>
    <w:uiPriority w:val="99"/>
    <w:semiHidden/>
    <w:unhideWhenUsed/>
  </w:style>
  <w:style w:type="character" w:styleId="4681" w:customStyle="1">
    <w:name w:val="Основной текст Знак101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682" w:customStyle="1">
    <w:name w:val="Table Paragraph100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683" w:customStyle="1">
    <w:name w:val="Верхний колонтитул Знак100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684" w:customStyle="1">
    <w:name w:val="Нижний колонтитул Знак100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685" w:customStyle="1">
    <w:name w:val="Заголовок 21100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686" w:customStyle="1">
    <w:name w:val="Гипертекстовая ссылка100"/>
    <w:basedOn w:val="720"/>
    <w:uiPriority w:val="99"/>
    <w:rPr>
      <w:b w:val="0"/>
      <w:bCs w:val="0"/>
      <w:color w:val="106bbe"/>
    </w:rPr>
  </w:style>
  <w:style w:type="table" w:styleId="4687" w:customStyle="1">
    <w:name w:val="Table Normal100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688" w:customStyle="1">
    <w:name w:val="Сетка таблицы1100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689" w:customStyle="1">
    <w:name w:val="Оглавление 11100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690" w:customStyle="1">
    <w:name w:val="Оглавление 21100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691" w:customStyle="1">
    <w:name w:val="Оглавление 31100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692" w:customStyle="1">
    <w:name w:val="Заголовок 11100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693" w:customStyle="1">
    <w:name w:val="Заголовок 31100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694" w:customStyle="1">
    <w:name w:val="Текст выноски Знак100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695" w:customStyle="1">
    <w:name w:val="Текст примечания Знак100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696" w:customStyle="1">
    <w:name w:val="Тема примечания Знак10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697" w:customStyle="1">
    <w:name w:val="xl6510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698" w:customStyle="1">
    <w:name w:val="xl6610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699" w:customStyle="1">
    <w:name w:val="xl67100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00" w:customStyle="1">
    <w:name w:val="xl68100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01" w:customStyle="1">
    <w:name w:val="xl6910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02" w:customStyle="1">
    <w:name w:val="xl70100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03" w:customStyle="1">
    <w:name w:val="xl7110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704" w:customStyle="1">
    <w:name w:val="xl72100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705" w:customStyle="1">
    <w:name w:val="xl7310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706" w:customStyle="1">
    <w:name w:val="xl7410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707" w:customStyle="1">
    <w:name w:val="xl7510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708" w:customStyle="1">
    <w:name w:val="xl76100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09" w:customStyle="1">
    <w:name w:val="xl77100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710" w:customStyle="1">
    <w:name w:val="xl789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711" w:customStyle="1">
    <w:name w:val="Заголовок 1 Знак117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712" w:customStyle="1">
    <w:name w:val="Заголовок 2 Знак118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713" w:customStyle="1">
    <w:name w:val="Заголовок 3 Знак99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714" w:customStyle="1">
    <w:name w:val="Нет списка199"/>
    <w:next w:val="722"/>
    <w:uiPriority w:val="99"/>
    <w:semiHidden/>
    <w:unhideWhenUsed/>
  </w:style>
  <w:style w:type="character" w:styleId="4715" w:customStyle="1">
    <w:name w:val="Основной текст Знак100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716" w:customStyle="1">
    <w:name w:val="Table Paragraph99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717" w:customStyle="1">
    <w:name w:val="Верхний колонтитул Знак99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718" w:customStyle="1">
    <w:name w:val="Нижний колонтитул Знак99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719" w:customStyle="1">
    <w:name w:val="Заголовок 2199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720" w:customStyle="1">
    <w:name w:val="Гипертекстовая ссылка99"/>
    <w:basedOn w:val="720"/>
    <w:uiPriority w:val="99"/>
    <w:rPr>
      <w:b w:val="0"/>
      <w:bCs w:val="0"/>
      <w:color w:val="106bbe"/>
    </w:rPr>
  </w:style>
  <w:style w:type="table" w:styleId="4721" w:customStyle="1">
    <w:name w:val="Table Normal99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722" w:customStyle="1">
    <w:name w:val="Сетка таблицы199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723" w:customStyle="1">
    <w:name w:val="Оглавление 1199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724" w:customStyle="1">
    <w:name w:val="Оглавление 2199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725" w:customStyle="1">
    <w:name w:val="Оглавление 3199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726" w:customStyle="1">
    <w:name w:val="Заголовок 1199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727" w:customStyle="1">
    <w:name w:val="Заголовок 3199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728" w:customStyle="1">
    <w:name w:val="Текст выноски Знак99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729" w:customStyle="1">
    <w:name w:val="Текст примечания Знак99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730" w:customStyle="1">
    <w:name w:val="Тема примечания Знак9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731" w:customStyle="1">
    <w:name w:val="xl659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732" w:customStyle="1">
    <w:name w:val="xl669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33" w:customStyle="1">
    <w:name w:val="xl6799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34" w:customStyle="1">
    <w:name w:val="xl6899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35" w:customStyle="1">
    <w:name w:val="xl699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36" w:customStyle="1">
    <w:name w:val="xl7099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37" w:customStyle="1">
    <w:name w:val="xl719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738" w:customStyle="1">
    <w:name w:val="xl7299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739" w:customStyle="1">
    <w:name w:val="xl739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740" w:customStyle="1">
    <w:name w:val="xl749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741" w:customStyle="1">
    <w:name w:val="xl759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742" w:customStyle="1">
    <w:name w:val="xl7699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43" w:customStyle="1">
    <w:name w:val="xl7799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744" w:customStyle="1">
    <w:name w:val="xl789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745" w:customStyle="1">
    <w:name w:val="Заголовок 1 Знак116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746" w:customStyle="1">
    <w:name w:val="Заголовок 2 Знак117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747" w:customStyle="1">
    <w:name w:val="Заголовок 3 Знак98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748" w:customStyle="1">
    <w:name w:val="Нет списка198"/>
    <w:next w:val="722"/>
    <w:uiPriority w:val="99"/>
    <w:semiHidden/>
    <w:unhideWhenUsed/>
  </w:style>
  <w:style w:type="character" w:styleId="4749" w:customStyle="1">
    <w:name w:val="Основной текст Знак99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750" w:customStyle="1">
    <w:name w:val="Table Paragraph98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751" w:customStyle="1">
    <w:name w:val="Верхний колонтитул Знак98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752" w:customStyle="1">
    <w:name w:val="Нижний колонтитул Знак98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753" w:customStyle="1">
    <w:name w:val="Заголовок 2198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754" w:customStyle="1">
    <w:name w:val="Гипертекстовая ссылка98"/>
    <w:basedOn w:val="720"/>
    <w:uiPriority w:val="99"/>
    <w:rPr>
      <w:b w:val="0"/>
      <w:bCs w:val="0"/>
      <w:color w:val="106bbe"/>
    </w:rPr>
  </w:style>
  <w:style w:type="table" w:styleId="4755" w:customStyle="1">
    <w:name w:val="Table Normal98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756" w:customStyle="1">
    <w:name w:val="Сетка таблицы198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757" w:customStyle="1">
    <w:name w:val="Оглавление 1198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758" w:customStyle="1">
    <w:name w:val="Оглавление 2198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759" w:customStyle="1">
    <w:name w:val="Оглавление 3198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760" w:customStyle="1">
    <w:name w:val="Заголовок 1198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761" w:customStyle="1">
    <w:name w:val="Заголовок 3198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762" w:customStyle="1">
    <w:name w:val="Текст выноски Знак98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763" w:customStyle="1">
    <w:name w:val="Текст примечания Знак98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764" w:customStyle="1">
    <w:name w:val="Тема примечания Знак98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765" w:customStyle="1">
    <w:name w:val="xl659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766" w:customStyle="1">
    <w:name w:val="xl669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67" w:customStyle="1">
    <w:name w:val="xl6798"/>
    <w:basedOn w:val="715"/>
    <w:pPr>
      <w:ind w:firstLine="300"/>
      <w:spacing w:before="100" w:beforeAutospacing="1" w:after="100" w:afterAutospacing="1"/>
      <w:pBdr>
        <w:top w:val="single" w:color="000000" w:sz="4" w:space="0"/>
        <w:left w:val="single" w:color="000000" w:sz="4" w:space="3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68" w:customStyle="1">
    <w:name w:val="xl6898"/>
    <w:basedOn w:val="715"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21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69" w:customStyle="1">
    <w:name w:val="xl699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70" w:customStyle="1">
    <w:name w:val="xl7098"/>
    <w:basedOn w:val="715"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1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71" w:customStyle="1">
    <w:name w:val="xl719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13"/>
      <w:szCs w:val="13"/>
      <w:lang w:eastAsia="ru-RU"/>
    </w:rPr>
  </w:style>
  <w:style w:type="paragraph" w:styleId="4772" w:customStyle="1">
    <w:name w:val="xl7298"/>
    <w:basedOn w:val="715"/>
    <w:pPr>
      <w:jc w:val="center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4773" w:customStyle="1">
    <w:name w:val="xl739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774" w:customStyle="1">
    <w:name w:val="xl749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paragraph" w:styleId="4775" w:customStyle="1">
    <w:name w:val="xl759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776" w:customStyle="1">
    <w:name w:val="xl7698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  <w:style w:type="paragraph" w:styleId="4777" w:customStyle="1">
    <w:name w:val="xl7798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b/>
      <w:bCs/>
      <w:szCs w:val="24"/>
      <w:lang w:eastAsia="ru-RU"/>
    </w:rPr>
  </w:style>
  <w:style w:type="paragraph" w:styleId="4778" w:customStyle="1">
    <w:name w:val="xl789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8"/>
      <w:szCs w:val="28"/>
      <w:lang w:eastAsia="ru-RU"/>
    </w:rPr>
  </w:style>
  <w:style w:type="character" w:styleId="4779" w:customStyle="1">
    <w:name w:val="Заголовок 1 Знак115"/>
    <w:basedOn w:val="720"/>
    <w:uiPriority w:val="1"/>
    <w:rPr>
      <w:rFonts w:ascii="Times New Roman" w:hAnsi="Times New Roman" w:cs="Times New Roman" w:eastAsiaTheme="minorEastAsia"/>
      <w:b/>
      <w:bCs/>
      <w:sz w:val="32"/>
      <w:szCs w:val="32"/>
      <w:lang w:eastAsia="ru-RU"/>
    </w:rPr>
  </w:style>
  <w:style w:type="character" w:styleId="4780" w:customStyle="1">
    <w:name w:val="Заголовок 2 Знак116"/>
    <w:basedOn w:val="720"/>
    <w:uiPriority w:val="1"/>
    <w:rPr>
      <w:rFonts w:ascii="Times New Roman" w:hAnsi="Times New Roman" w:cs="Times New Roman" w:eastAsiaTheme="minorEastAsia"/>
      <w:b/>
      <w:bCs/>
      <w:sz w:val="28"/>
      <w:szCs w:val="28"/>
      <w:lang w:eastAsia="ru-RU"/>
    </w:rPr>
  </w:style>
  <w:style w:type="character" w:styleId="4781" w:customStyle="1">
    <w:name w:val="Заголовок 3 Знак97"/>
    <w:basedOn w:val="720"/>
    <w:uiPriority w:val="1"/>
    <w:rPr>
      <w:rFonts w:ascii="Times New Roman" w:hAnsi="Times New Roman" w:cs="Times New Roman" w:eastAsiaTheme="minorEastAsia"/>
      <w:b/>
      <w:bCs/>
      <w:sz w:val="24"/>
      <w:szCs w:val="24"/>
      <w:lang w:eastAsia="ru-RU"/>
    </w:rPr>
  </w:style>
  <w:style w:type="numbering" w:styleId="4782" w:customStyle="1">
    <w:name w:val="Нет списка197"/>
    <w:next w:val="722"/>
    <w:uiPriority w:val="99"/>
    <w:semiHidden/>
    <w:unhideWhenUsed/>
  </w:style>
  <w:style w:type="character" w:styleId="4783" w:customStyle="1">
    <w:name w:val="Основной текст Знак98"/>
    <w:basedOn w:val="720"/>
    <w:uiPriority w:val="1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784" w:customStyle="1">
    <w:name w:val="Table Paragraph97"/>
    <w:basedOn w:val="715"/>
    <w:uiPriority w:val="1"/>
    <w:qFormat/>
    <w:pPr>
      <w:widowControl w:val="off"/>
    </w:pPr>
    <w:rPr>
      <w:rFonts w:cs="Times New Roman" w:eastAsiaTheme="minorEastAsia"/>
      <w:szCs w:val="24"/>
      <w:lang w:eastAsia="ru-RU"/>
    </w:rPr>
  </w:style>
  <w:style w:type="character" w:styleId="4785" w:customStyle="1">
    <w:name w:val="Верхний колонтитул Знак97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4786" w:customStyle="1">
    <w:name w:val="Нижний колонтитул Знак97"/>
    <w:basedOn w:val="720"/>
    <w:uiPriority w:val="99"/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4787" w:customStyle="1">
    <w:name w:val="Заголовок 2197"/>
    <w:basedOn w:val="715"/>
    <w:uiPriority w:val="1"/>
    <w:qFormat/>
    <w:pPr>
      <w:ind w:left="692" w:hanging="8"/>
      <w:widowControl w:val="off"/>
      <w:outlineLvl w:val="2"/>
    </w:pPr>
    <w:rPr>
      <w:rFonts w:eastAsia="Times New Roman"/>
      <w:b/>
      <w:bCs/>
      <w:sz w:val="28"/>
      <w:szCs w:val="28"/>
      <w:lang w:val="en-US"/>
    </w:rPr>
  </w:style>
  <w:style w:type="character" w:styleId="4788" w:customStyle="1">
    <w:name w:val="Гипертекстовая ссылка97"/>
    <w:basedOn w:val="720"/>
    <w:uiPriority w:val="99"/>
    <w:rPr>
      <w:b w:val="0"/>
      <w:bCs w:val="0"/>
      <w:color w:val="106bbe"/>
    </w:rPr>
  </w:style>
  <w:style w:type="table" w:styleId="4789" w:customStyle="1">
    <w:name w:val="Table Normal97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4790" w:customStyle="1">
    <w:name w:val="Сетка таблицы197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4791" w:customStyle="1">
    <w:name w:val="Оглавление 1197"/>
    <w:basedOn w:val="715"/>
    <w:uiPriority w:val="1"/>
    <w:qFormat/>
    <w:pPr>
      <w:ind w:left="116" w:hanging="12"/>
      <w:spacing w:before="96"/>
    </w:pPr>
    <w:rPr>
      <w:rFonts w:eastAsia="Times New Roman" w:cs="Times New Roman"/>
      <w:szCs w:val="24"/>
      <w:lang w:eastAsia="ru-RU"/>
    </w:rPr>
  </w:style>
  <w:style w:type="paragraph" w:styleId="4792" w:customStyle="1">
    <w:name w:val="Оглавление 2197"/>
    <w:basedOn w:val="715"/>
    <w:uiPriority w:val="1"/>
    <w:qFormat/>
    <w:pPr>
      <w:ind w:left="356" w:hanging="8"/>
      <w:spacing w:before="102"/>
    </w:pPr>
    <w:rPr>
      <w:rFonts w:eastAsia="Times New Roman" w:cs="Times New Roman"/>
      <w:szCs w:val="24"/>
      <w:lang w:eastAsia="ru-RU"/>
    </w:rPr>
  </w:style>
  <w:style w:type="paragraph" w:styleId="4793" w:customStyle="1">
    <w:name w:val="Оглавление 3197"/>
    <w:basedOn w:val="715"/>
    <w:uiPriority w:val="1"/>
    <w:qFormat/>
    <w:pPr>
      <w:ind w:left="596" w:hanging="540"/>
      <w:spacing w:before="112"/>
    </w:pPr>
    <w:rPr>
      <w:rFonts w:eastAsia="Times New Roman" w:cs="Times New Roman"/>
      <w:szCs w:val="24"/>
      <w:lang w:eastAsia="ru-RU"/>
    </w:rPr>
  </w:style>
  <w:style w:type="paragraph" w:styleId="4794" w:customStyle="1">
    <w:name w:val="Заголовок 1197"/>
    <w:basedOn w:val="715"/>
    <w:uiPriority w:val="1"/>
    <w:qFormat/>
    <w:pPr>
      <w:ind w:left="128" w:hanging="12"/>
      <w:spacing w:before="58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styleId="4795" w:customStyle="1">
    <w:name w:val="Заголовок 3197"/>
    <w:basedOn w:val="715"/>
    <w:uiPriority w:val="1"/>
    <w:qFormat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styleId="4796" w:customStyle="1">
    <w:name w:val="Текст выноски Знак97"/>
    <w:basedOn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4797" w:customStyle="1">
    <w:name w:val="Текст примечания Знак97"/>
    <w:basedOn w:val="7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798" w:customStyle="1">
    <w:name w:val="Тема примечания Знак97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4799" w:customStyle="1">
    <w:name w:val="xl6597"/>
    <w:basedOn w:val="715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 w:val="20"/>
      <w:szCs w:val="20"/>
      <w:lang w:eastAsia="ru-RU"/>
    </w:rPr>
  </w:style>
  <w:style w:type="paragraph" w:styleId="4800" w:customStyle="1">
    <w:name w:val="xl6697"/>
    <w:basedOn w:val="715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3" Type="http://schemas.openxmlformats.org/officeDocument/2006/relationships/image" Target="media/image2.emf"/><Relationship Id="rId2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6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6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6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6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6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6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6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6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6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6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7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7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7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7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7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7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7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7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7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7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8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8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8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8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8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8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8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8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8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8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9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9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9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9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9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9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9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9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9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9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1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1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1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1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1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1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19" Type="http://schemas.openxmlformats.org/officeDocument/2006/relationships/hyperlink" Target="http://internet.garant.ru/document/redirect/71274648/0" TargetMode="External"/><Relationship Id="rId12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2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2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2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2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2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2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2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2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2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3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31" Type="http://schemas.openxmlformats.org/officeDocument/2006/relationships/image" Target="media/image3.wmf"/><Relationship Id="rId132" Type="http://schemas.openxmlformats.org/officeDocument/2006/relationships/oleObject" Target="embeddings/oleObject1.bin"/><Relationship Id="rId133" Type="http://schemas.openxmlformats.org/officeDocument/2006/relationships/image" Target="media/image4.wmf"/><Relationship Id="rId134" Type="http://schemas.openxmlformats.org/officeDocument/2006/relationships/oleObject" Target="embeddings/oleObject2.bin"/><Relationship Id="rId135" Type="http://schemas.openxmlformats.org/officeDocument/2006/relationships/image" Target="media/image5.wmf"/><Relationship Id="rId136" Type="http://schemas.openxmlformats.org/officeDocument/2006/relationships/oleObject" Target="embeddings/oleObject3.bin"/><Relationship Id="rId137" Type="http://schemas.openxmlformats.org/officeDocument/2006/relationships/image" Target="media/image6.wmf"/><Relationship Id="rId138" Type="http://schemas.openxmlformats.org/officeDocument/2006/relationships/oleObject" Target="embeddings/oleObject4.bin"/><Relationship Id="rId139" Type="http://schemas.openxmlformats.org/officeDocument/2006/relationships/chart" Target="charts/chart1.xml" /><Relationship Id="rId14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9" Type="http://schemas.openxmlformats.org/officeDocument/2006/relationships/image" Target="media/image7.png"/><Relationship Id="rId15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5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5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5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5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5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5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5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5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5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6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6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6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6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6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6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6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6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6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6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7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8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4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5" Type="http://schemas.openxmlformats.org/officeDocument/2006/relationships/hyperlink" Target="http://www.politerm.spb.ru/zuluthermo/webhelp/commtasks.html" TargetMode="External"/><Relationship Id="rId186" Type="http://schemas.openxmlformats.org/officeDocument/2006/relationships/hyperlink" Target="https://www.politerm.com/zuluthermo/webhelp/poverka_summermode_calcoptions.html" TargetMode="External"/><Relationship Id="rId187" Type="http://schemas.openxmlformats.org/officeDocument/2006/relationships/hyperlink" Target="https://www.politerm.com/zuluthermo/webhelp/poverka_regul_gvs.html" TargetMode="External"/><Relationship Id="rId188" Type="http://schemas.openxmlformats.org/officeDocument/2006/relationships/hyperlink" Target="https://www.politerm.com/products/scada/zuluopc/" TargetMode="External"/><Relationship Id="rId189" Type="http://schemas.openxmlformats.org/officeDocument/2006/relationships/hyperlink" Target="https://www.politerm.com/zuluthermo/webhelp/calibration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charts/_rels/chart1.xml.rels><?xml version="1.0" encoding="UTF-8" standalone="yes"?><Relationships xmlns="http://schemas.openxmlformats.org/package/2006/relationships"><Relationship Id="rId1" Type="http://schemas.openxmlformats.org/officeDocument/2006/relationships/themeOverride" Target="../theme/themeOverride1.xml" /><Relationship Id="rId2" Type="http://schemas.openxmlformats.org/officeDocument/2006/relationships/package" Target="../embeddings/Microsoft_Excel_Worksheet1.xlsx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073986"/>
          <c:y val="0.027714"/>
          <c:w val="0.906921"/>
          <c:h val="0.757506"/>
        </c:manualLayout>
      </c:layout>
      <c:lineChart>
        <c:grouping val="standard"/>
        <c:varyColors val="0"/>
        <c:ser>
          <c:idx val="0"/>
          <c:order val="0"/>
          <c:tx>
            <c:v xml:space="preserve">Время снижения температуры</c:v>
          </c:tx>
          <c:spPr bwMode="auto">
            <a:prstGeom prst="rect">
              <a:avLst/>
            </a:prstGeom>
            <a:ln w="25400">
              <a:solidFill>
                <a:srgbClr val="666699"/>
              </a:solidFill>
              <a:prstDash val="solid"/>
            </a:ln>
          </c:spPr>
          <c:marker>
            <c:symbol val="none"/>
          </c:marker>
          <c:cat>
            <c:numRef>
              <c:f>Участки!$BQ$64:$BQ$90</c:f>
              <c:numCache>
                <c:formatCode>General</c:formatCode>
                <c:ptCount val="27"/>
                <c:pt idx="0">
                  <c:v>-43</c:v>
                </c:pt>
                <c:pt idx="1">
                  <c:v>-41</c:v>
                </c:pt>
                <c:pt idx="2">
                  <c:v>-39</c:v>
                </c:pt>
                <c:pt idx="3">
                  <c:v>-37</c:v>
                </c:pt>
                <c:pt idx="4">
                  <c:v>-35</c:v>
                </c:pt>
                <c:pt idx="5">
                  <c:v>-33</c:v>
                </c:pt>
                <c:pt idx="6">
                  <c:v>-31</c:v>
                </c:pt>
                <c:pt idx="7">
                  <c:v>-29</c:v>
                </c:pt>
                <c:pt idx="8">
                  <c:v>-27</c:v>
                </c:pt>
                <c:pt idx="9">
                  <c:v>-25</c:v>
                </c:pt>
                <c:pt idx="10">
                  <c:v>-23</c:v>
                </c:pt>
                <c:pt idx="11">
                  <c:v>-21</c:v>
                </c:pt>
                <c:pt idx="12">
                  <c:v>-19</c:v>
                </c:pt>
                <c:pt idx="13">
                  <c:v>-17</c:v>
                </c:pt>
                <c:pt idx="14">
                  <c:v>-15</c:v>
                </c:pt>
                <c:pt idx="15">
                  <c:v>-13</c:v>
                </c:pt>
                <c:pt idx="16">
                  <c:v>-11</c:v>
                </c:pt>
                <c:pt idx="17">
                  <c:v>-9</c:v>
                </c:pt>
                <c:pt idx="18">
                  <c:v>-7</c:v>
                </c:pt>
                <c:pt idx="19">
                  <c:v>-5</c:v>
                </c:pt>
                <c:pt idx="20">
                  <c:v>-3</c:v>
                </c:pt>
                <c:pt idx="21">
                  <c:v>-1</c:v>
                </c:pt>
                <c:pt idx="22">
                  <c:v>1</c:v>
                </c:pt>
                <c:pt idx="23">
                  <c:v>3</c:v>
                </c:pt>
                <c:pt idx="24">
                  <c:v>5</c:v>
                </c:pt>
                <c:pt idx="25">
                  <c:v>7</c:v>
                </c:pt>
                <c:pt idx="26">
                  <c:v>9</c:v>
                </c:pt>
              </c:numCache>
            </c:numRef>
          </c:cat>
          <c:val>
            <c:numRef>
              <c:f>Участки!$BU$64:$BU$90</c:f>
              <c:numCache>
                <c:formatCode>0.0000</c:formatCode>
                <c:ptCount val="27"/>
                <c:pt idx="0">
                  <c:v>5.432061646362473</c:v>
                </c:pt>
                <c:pt idx="1">
                  <c:v>5.623278024847576</c:v>
                </c:pt>
                <c:pt idx="2">
                  <c:v>5.828472447255747</c:v>
                </c:pt>
                <c:pt idx="3">
                  <c:v>6.0492387889569414</c:v>
                </c:pt>
                <c:pt idx="4">
                  <c:v>6.287423340896491</c:v>
                </c:pt>
                <c:pt idx="5">
                  <c:v>6.545176951272085</c:v>
                </c:pt>
                <c:pt idx="6">
                  <c:v>6.825020681230538</c:v>
                </c:pt>
                <c:pt idx="7">
                  <c:v>7.129929256252747</c:v>
                </c:pt>
                <c:pt idx="8">
                  <c:v>7.463438223216482</c:v>
                </c:pt>
                <c:pt idx="9">
                  <c:v>7.829783085043816</c:v>
                </c:pt>
                <c:pt idx="10">
                  <c:v>8.234082168165953</c:v>
                </c:pt>
                <c:pt idx="11">
                  <c:v>8.682580209513109</c:v>
                </c:pt>
                <c:pt idx="12">
                  <c:v>9.182977665780003</c:v>
                </c:pt>
                <c:pt idx="13">
                  <c:v>9.744883306310014</c:v>
                </c:pt>
                <c:pt idx="14">
                  <c:v>10.380447819403399</c:v>
                </c:pt>
                <c:pt idx="15">
                  <c:v>11.105269463931178</c:v>
                </c:pt>
                <c:pt idx="16">
                  <c:v>11.939719542239862</c:v>
                </c:pt>
                <c:pt idx="17">
                  <c:v>12.910935690522047</c:v>
                </c:pt>
                <c:pt idx="18">
                  <c:v>14.055915473515544</c:v>
                </c:pt>
                <c:pt idx="19">
                  <c:v>15.4264992324794</c:v>
                </c:pt>
                <c:pt idx="20">
                  <c:v>17.097760593077588</c:v>
                </c:pt>
                <c:pt idx="21">
                  <c:v>19.18292321047544</c:v>
                </c:pt>
                <c:pt idx="22">
                  <c:v>21.86174825472278</c:v>
                </c:pt>
                <c:pt idx="23">
                  <c:v>25.439550668799868</c:v>
                </c:pt>
                <c:pt idx="24">
                  <c:v>30.485602081875836</c:v>
                </c:pt>
                <c:pt idx="25">
                  <c:v>38.220457801097446</c:v>
                </c:pt>
                <c:pt idx="26">
                  <c:v>51.97131936521041</c:v>
                </c:pt>
              </c:numCache>
            </c:numRef>
          </c:val>
          <c:smooth val="0"/>
        </c:ser>
        <c:ser>
          <c:idx val="1"/>
          <c:order val="1"/>
          <c:tx>
            <c:v xml:space="preserve">D=32 мм</c:v>
          </c:tx>
          <c:spPr bwMode="auto">
            <a:prstGeom prst="rect">
              <a:avLst/>
            </a:prstGeom>
            <a:ln w="25400">
              <a:solidFill>
                <a:srgbClr val="993366"/>
              </a:solidFill>
              <a:prstDash val="solid"/>
            </a:ln>
          </c:spPr>
          <c:marker>
            <c:symbol val="none"/>
          </c:marker>
          <c:val>
            <c:numRef>
              <c:f>Участки!$BX$64:$BX$90</c:f>
              <c:numCache>
                <c:formatCode>0.000</c:formatCode>
                <c:ptCount val="27"/>
                <c:pt idx="0">
                  <c:v>3.8025858188725605</c:v>
                </c:pt>
                <c:pt idx="1">
                  <c:v>3.8025858188725605</c:v>
                </c:pt>
                <c:pt idx="2">
                  <c:v>3.8025858188725605</c:v>
                </c:pt>
                <c:pt idx="3">
                  <c:v>3.8025858188725605</c:v>
                </c:pt>
                <c:pt idx="4">
                  <c:v>3.8025858188725605</c:v>
                </c:pt>
                <c:pt idx="5">
                  <c:v>3.8025858188725605</c:v>
                </c:pt>
                <c:pt idx="6">
                  <c:v>3.8025858188725605</c:v>
                </c:pt>
                <c:pt idx="7">
                  <c:v>3.8025858188725605</c:v>
                </c:pt>
                <c:pt idx="8">
                  <c:v>3.8025858188725605</c:v>
                </c:pt>
                <c:pt idx="9">
                  <c:v>3.8025858188725605</c:v>
                </c:pt>
                <c:pt idx="10">
                  <c:v>3.8025858188725605</c:v>
                </c:pt>
                <c:pt idx="11">
                  <c:v>3.8025858188725605</c:v>
                </c:pt>
                <c:pt idx="12">
                  <c:v>3.8025858188725605</c:v>
                </c:pt>
                <c:pt idx="13">
                  <c:v>3.8025858188725605</c:v>
                </c:pt>
                <c:pt idx="14">
                  <c:v>3.8025858188725605</c:v>
                </c:pt>
                <c:pt idx="15">
                  <c:v>3.8025858188725605</c:v>
                </c:pt>
                <c:pt idx="16">
                  <c:v>3.8025858188725605</c:v>
                </c:pt>
                <c:pt idx="17">
                  <c:v>3.8025858188725605</c:v>
                </c:pt>
                <c:pt idx="18">
                  <c:v>3.8025858188725605</c:v>
                </c:pt>
                <c:pt idx="19">
                  <c:v>3.8025858188725605</c:v>
                </c:pt>
                <c:pt idx="20">
                  <c:v>3.8025858188725605</c:v>
                </c:pt>
                <c:pt idx="21">
                  <c:v>3.8025858188725605</c:v>
                </c:pt>
                <c:pt idx="22">
                  <c:v>3.8025858188725605</c:v>
                </c:pt>
                <c:pt idx="23">
                  <c:v>3.8025858188725605</c:v>
                </c:pt>
                <c:pt idx="24">
                  <c:v>3.8025858188725605</c:v>
                </c:pt>
                <c:pt idx="25">
                  <c:v>3.8025858188725605</c:v>
                </c:pt>
                <c:pt idx="26">
                  <c:v>3.8025858188725605</c:v>
                </c:pt>
              </c:numCache>
            </c:numRef>
          </c:val>
          <c:smooth val="0"/>
        </c:ser>
        <c:ser>
          <c:idx val="2"/>
          <c:order val="2"/>
          <c:tx>
            <c:v xml:space="preserve">D=100 мм</c:v>
          </c:tx>
          <c:spPr bwMode="auto">
            <a:prstGeom prst="rect">
              <a:avLst/>
            </a:prstGeom>
            <a:ln w="25400">
              <a:solidFill>
                <a:srgbClr val="99CC00"/>
              </a:solidFill>
              <a:prstDash val="solid"/>
            </a:ln>
          </c:spPr>
          <c:marker>
            <c:symbol val="none"/>
          </c:marker>
          <c:val>
            <c:numRef>
              <c:f>Участки!$CH$65:$CH$90</c:f>
              <c:numCache>
                <c:formatCode>0.000</c:formatCode>
                <c:ptCount val="26"/>
                <c:pt idx="0">
                  <c:v>6.405751216107459</c:v>
                </c:pt>
                <c:pt idx="1">
                  <c:v>6.405751216107459</c:v>
                </c:pt>
                <c:pt idx="2">
                  <c:v>6.405751216107459</c:v>
                </c:pt>
                <c:pt idx="3">
                  <c:v>6.405751216107459</c:v>
                </c:pt>
                <c:pt idx="4">
                  <c:v>6.405751216107459</c:v>
                </c:pt>
                <c:pt idx="5">
                  <c:v>6.405751216107459</c:v>
                </c:pt>
                <c:pt idx="6">
                  <c:v>6.405751216107459</c:v>
                </c:pt>
                <c:pt idx="7">
                  <c:v>6.405751216107459</c:v>
                </c:pt>
                <c:pt idx="8">
                  <c:v>6.405751216107459</c:v>
                </c:pt>
                <c:pt idx="9">
                  <c:v>6.405751216107459</c:v>
                </c:pt>
                <c:pt idx="10">
                  <c:v>6.405751216107459</c:v>
                </c:pt>
                <c:pt idx="11">
                  <c:v>6.405751216107459</c:v>
                </c:pt>
                <c:pt idx="12">
                  <c:v>6.405751216107459</c:v>
                </c:pt>
                <c:pt idx="13">
                  <c:v>6.405751216107459</c:v>
                </c:pt>
                <c:pt idx="14">
                  <c:v>6.405751216107459</c:v>
                </c:pt>
                <c:pt idx="15">
                  <c:v>6.405751216107459</c:v>
                </c:pt>
                <c:pt idx="16">
                  <c:v>6.405751216107459</c:v>
                </c:pt>
                <c:pt idx="17">
                  <c:v>6.405751216107459</c:v>
                </c:pt>
                <c:pt idx="18">
                  <c:v>6.405751216107459</c:v>
                </c:pt>
                <c:pt idx="19">
                  <c:v>6.405751216107459</c:v>
                </c:pt>
                <c:pt idx="20">
                  <c:v>6.405751216107459</c:v>
                </c:pt>
                <c:pt idx="21">
                  <c:v>6.405751216107459</c:v>
                </c:pt>
                <c:pt idx="22">
                  <c:v>6.405751216107459</c:v>
                </c:pt>
                <c:pt idx="23">
                  <c:v>6.405751216107459</c:v>
                </c:pt>
                <c:pt idx="24">
                  <c:v>6.405751216107459</c:v>
                </c:pt>
                <c:pt idx="25">
                  <c:v>6.405751216107459</c:v>
                </c:pt>
              </c:numCache>
            </c:numRef>
          </c:val>
          <c:smooth val="0"/>
        </c:ser>
        <c:ser>
          <c:idx val="3"/>
          <c:order val="3"/>
          <c:tx>
            <c:v xml:space="preserve">D=200 мм</c:v>
          </c:tx>
          <c:spPr bwMode="auto">
            <a:prstGeom prst="rect">
              <a:avLst/>
            </a:prstGeom>
            <a:ln w="25400">
              <a:solidFill>
                <a:srgbClr val="666699"/>
              </a:solidFill>
              <a:prstDash val="solid"/>
            </a:ln>
          </c:spPr>
          <c:marker>
            <c:symbol val="none"/>
          </c:marker>
          <c:val>
            <c:numRef>
              <c:f>Участки!$CN$65:$CN$90</c:f>
              <c:numCache>
                <c:formatCode>0.000</c:formatCode>
                <c:ptCount val="26"/>
                <c:pt idx="0">
                  <c:v>10.937805037062684</c:v>
                </c:pt>
                <c:pt idx="1">
                  <c:v>10.937805037062684</c:v>
                </c:pt>
                <c:pt idx="2">
                  <c:v>10.937805037062684</c:v>
                </c:pt>
                <c:pt idx="3">
                  <c:v>10.937805037062684</c:v>
                </c:pt>
                <c:pt idx="4">
                  <c:v>10.937805037062684</c:v>
                </c:pt>
                <c:pt idx="5">
                  <c:v>10.937805037062684</c:v>
                </c:pt>
                <c:pt idx="6">
                  <c:v>10.937805037062684</c:v>
                </c:pt>
                <c:pt idx="7">
                  <c:v>10.937805037062684</c:v>
                </c:pt>
                <c:pt idx="8">
                  <c:v>10.937805037062684</c:v>
                </c:pt>
                <c:pt idx="9">
                  <c:v>10.937805037062684</c:v>
                </c:pt>
                <c:pt idx="10">
                  <c:v>10.937805037062684</c:v>
                </c:pt>
                <c:pt idx="11">
                  <c:v>10.937805037062684</c:v>
                </c:pt>
                <c:pt idx="12">
                  <c:v>10.937805037062684</c:v>
                </c:pt>
                <c:pt idx="13">
                  <c:v>10.937805037062684</c:v>
                </c:pt>
                <c:pt idx="14">
                  <c:v>10.937805037062684</c:v>
                </c:pt>
                <c:pt idx="15">
                  <c:v>10.937805037062684</c:v>
                </c:pt>
                <c:pt idx="16">
                  <c:v>10.937805037062684</c:v>
                </c:pt>
                <c:pt idx="17">
                  <c:v>10.937805037062684</c:v>
                </c:pt>
                <c:pt idx="18">
                  <c:v>10.937805037062684</c:v>
                </c:pt>
                <c:pt idx="19">
                  <c:v>10.937805037062684</c:v>
                </c:pt>
                <c:pt idx="20">
                  <c:v>10.937805037062684</c:v>
                </c:pt>
                <c:pt idx="21">
                  <c:v>10.937805037062684</c:v>
                </c:pt>
                <c:pt idx="22">
                  <c:v>10.937805037062684</c:v>
                </c:pt>
                <c:pt idx="23">
                  <c:v>10.937805037062684</c:v>
                </c:pt>
                <c:pt idx="24">
                  <c:v>10.937805037062684</c:v>
                </c:pt>
                <c:pt idx="25">
                  <c:v>10.937805037062684</c:v>
                </c:pt>
              </c:numCache>
            </c:numRef>
          </c:val>
          <c:smooth val="0"/>
        </c:ser>
        <c:ser>
          <c:idx val="4"/>
          <c:order val="4"/>
          <c:tx>
            <c:v xml:space="preserve">D=300 мм</c:v>
          </c:tx>
          <c:spPr bwMode="auto">
            <a:prstGeom prst="rect">
              <a:avLst/>
            </a:prstGeom>
            <a:ln w="25400">
              <a:solidFill>
                <a:srgbClr val="33CCCC"/>
              </a:solidFill>
              <a:prstDash val="solid"/>
            </a:ln>
          </c:spPr>
          <c:marker>
            <c:symbol val="none"/>
          </c:marker>
          <c:val>
            <c:numRef>
              <c:f>Участки!$CR$65:$CR$90</c:f>
              <c:numCache>
                <c:formatCode>0.000</c:formatCode>
                <c:ptCount val="26"/>
                <c:pt idx="0">
                  <c:v>15.96728708080177</c:v>
                </c:pt>
                <c:pt idx="1">
                  <c:v>15.96728708080177</c:v>
                </c:pt>
                <c:pt idx="2">
                  <c:v>15.96728708080177</c:v>
                </c:pt>
                <c:pt idx="3">
                  <c:v>15.96728708080177</c:v>
                </c:pt>
                <c:pt idx="4">
                  <c:v>15.96728708080177</c:v>
                </c:pt>
                <c:pt idx="5">
                  <c:v>15.96728708080177</c:v>
                </c:pt>
                <c:pt idx="6">
                  <c:v>15.96728708080177</c:v>
                </c:pt>
                <c:pt idx="7">
                  <c:v>15.96728708080177</c:v>
                </c:pt>
                <c:pt idx="8">
                  <c:v>15.96728708080177</c:v>
                </c:pt>
                <c:pt idx="9">
                  <c:v>15.96728708080177</c:v>
                </c:pt>
                <c:pt idx="10">
                  <c:v>15.96728708080177</c:v>
                </c:pt>
                <c:pt idx="11">
                  <c:v>15.96728708080177</c:v>
                </c:pt>
                <c:pt idx="12">
                  <c:v>15.96728708080177</c:v>
                </c:pt>
                <c:pt idx="13">
                  <c:v>15.96728708080177</c:v>
                </c:pt>
                <c:pt idx="14">
                  <c:v>15.96728708080177</c:v>
                </c:pt>
                <c:pt idx="15">
                  <c:v>15.96728708080177</c:v>
                </c:pt>
                <c:pt idx="16">
                  <c:v>15.96728708080177</c:v>
                </c:pt>
                <c:pt idx="17">
                  <c:v>15.96728708080177</c:v>
                </c:pt>
                <c:pt idx="18">
                  <c:v>15.96728708080177</c:v>
                </c:pt>
                <c:pt idx="19">
                  <c:v>15.96728708080177</c:v>
                </c:pt>
                <c:pt idx="20">
                  <c:v>15.96728708080177</c:v>
                </c:pt>
                <c:pt idx="21">
                  <c:v>15.96728708080177</c:v>
                </c:pt>
                <c:pt idx="22">
                  <c:v>15.96728708080177</c:v>
                </c:pt>
                <c:pt idx="23">
                  <c:v>15.96728708080177</c:v>
                </c:pt>
                <c:pt idx="24">
                  <c:v>15.96728708080177</c:v>
                </c:pt>
                <c:pt idx="25">
                  <c:v>15.96728708080177</c:v>
                </c:pt>
              </c:numCache>
            </c:numRef>
          </c:val>
          <c:smooth val="0"/>
        </c:ser>
        <c:ser>
          <c:idx val="5"/>
          <c:order val="5"/>
          <c:tx>
            <c:v xml:space="preserve">D=600 мм</c:v>
          </c:tx>
          <c:spPr bwMode="auto">
            <a:prstGeom prst="rect">
              <a:avLst/>
            </a:prstGeom>
            <a:ln w="25400">
              <a:solidFill>
                <a:srgbClr val="FF9900"/>
              </a:solidFill>
              <a:prstDash val="solid"/>
            </a:ln>
          </c:spPr>
          <c:marker>
            <c:symbol val="none"/>
          </c:marker>
          <c:val>
            <c:numRef>
              <c:f>Участки!$CT$64:$CT$90</c:f>
              <c:numCache>
                <c:formatCode>0.000</c:formatCode>
                <c:ptCount val="27"/>
                <c:pt idx="0">
                  <c:v>32.90444607510167</c:v>
                </c:pt>
                <c:pt idx="1">
                  <c:v>32.90444607510167</c:v>
                </c:pt>
                <c:pt idx="2">
                  <c:v>32.90444607510167</c:v>
                </c:pt>
                <c:pt idx="3">
                  <c:v>32.90444607510167</c:v>
                </c:pt>
                <c:pt idx="4">
                  <c:v>32.90444607510167</c:v>
                </c:pt>
                <c:pt idx="5">
                  <c:v>32.90444607510167</c:v>
                </c:pt>
                <c:pt idx="6">
                  <c:v>32.90444607510167</c:v>
                </c:pt>
                <c:pt idx="7">
                  <c:v>32.90444607510167</c:v>
                </c:pt>
                <c:pt idx="8">
                  <c:v>32.90444607510167</c:v>
                </c:pt>
                <c:pt idx="9">
                  <c:v>32.90444607510167</c:v>
                </c:pt>
                <c:pt idx="10">
                  <c:v>32.90444607510167</c:v>
                </c:pt>
                <c:pt idx="11">
                  <c:v>32.90444607510167</c:v>
                </c:pt>
                <c:pt idx="12">
                  <c:v>32.90444607510167</c:v>
                </c:pt>
                <c:pt idx="13">
                  <c:v>32.90444607510167</c:v>
                </c:pt>
                <c:pt idx="14">
                  <c:v>32.90444607510167</c:v>
                </c:pt>
                <c:pt idx="15">
                  <c:v>32.90444607510167</c:v>
                </c:pt>
                <c:pt idx="16">
                  <c:v>32.90444607510167</c:v>
                </c:pt>
                <c:pt idx="17">
                  <c:v>32.90444607510167</c:v>
                </c:pt>
                <c:pt idx="18">
                  <c:v>32.90444607510167</c:v>
                </c:pt>
                <c:pt idx="19">
                  <c:v>32.90444607510167</c:v>
                </c:pt>
                <c:pt idx="20">
                  <c:v>32.90444607510167</c:v>
                </c:pt>
                <c:pt idx="21">
                  <c:v>32.90444607510167</c:v>
                </c:pt>
                <c:pt idx="22">
                  <c:v>32.90444607510167</c:v>
                </c:pt>
                <c:pt idx="23">
                  <c:v>32.90444607510167</c:v>
                </c:pt>
                <c:pt idx="24">
                  <c:v>32.90444607510167</c:v>
                </c:pt>
                <c:pt idx="25">
                  <c:v>32.90444607510167</c:v>
                </c:pt>
                <c:pt idx="26">
                  <c:v>32.90444607510167</c:v>
                </c:pt>
              </c:numCache>
            </c:numRef>
          </c:val>
          <c:smooth val="0"/>
        </c:ser>
        <c:dLbls>
          <c:showBubbleSize val="0"/>
          <c:showCatName val="0"/>
          <c:showLeaderLines val="0"/>
          <c:showLegendKey val="0"/>
          <c:showPercent val="0"/>
          <c:showSerName val="0"/>
          <c:showVal val="0"/>
        </c:dLbls>
        <c:smooth val="0"/>
        <c:axId val="411810992"/>
        <c:axId val="408124496"/>
      </c:lineChart>
      <c:catAx>
        <c:axId val="411810992"/>
        <c:scaling>
          <c:orientation val="minMax"/>
        </c:scaling>
        <c:delete val="0"/>
        <c:axPos val="b"/>
        <c:majorGridlines>
          <c:spPr bwMode="auto">
            <a:prstGeom prst="rect">
              <a:avLst/>
            </a:prstGeom>
            <a:ln w="3175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Температура наружного воздуха, град. С</a:t>
                </a:r>
                <a:endParaRPr/>
              </a:p>
            </c:rich>
          </c:tx>
          <c:layout>
            <c:manualLayout>
              <c:xMode val="edge"/>
              <c:yMode val="edge"/>
              <c:x val="0.337311"/>
              <c:y val="0.859122"/>
            </c:manualLayout>
          </c:layout>
          <c:overlay val="0"/>
          <c:spPr bwMode="auto">
            <a:prstGeom prst="rect">
              <a:avLst/>
            </a:prstGeom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low"/>
        <c:spPr bwMode="auto">
          <a:prstGeom prst="rect">
            <a:avLst/>
          </a:prstGeom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408124496"/>
        <c:crosses val="autoZero"/>
        <c:crossesAt val="0.000000"/>
        <c:auto val="0"/>
        <c:lblAlgn val="ctr"/>
        <c:lblOffset val="100"/>
        <c:tickLblSkip val="1"/>
        <c:tickMarkSkip val="4"/>
        <c:noMultiLvlLbl val="0"/>
      </c:catAx>
      <c:valAx>
        <c:axId val="408124496"/>
        <c:scaling>
          <c:orientation val="minMax"/>
          <c:max val="55.000000"/>
          <c:min val="0.000000"/>
        </c:scaling>
        <c:delete val="0"/>
        <c:axPos val="l"/>
        <c:majorGridlines>
          <c:spPr bwMode="auto">
            <a:prstGeom prst="rect">
              <a:avLst/>
            </a:prstGeom>
            <a:ln w="3175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Число часов</a:t>
                </a:r>
                <a:endParaRPr/>
              </a:p>
            </c:rich>
          </c:tx>
          <c:layout>
            <c:manualLayout>
              <c:xMode val="edge"/>
              <c:yMode val="edge"/>
              <c:x val="0.005967"/>
              <c:y val="0.314088"/>
            </c:manualLayout>
          </c:layout>
          <c:overlay val="0"/>
          <c:spPr bwMode="auto">
            <a:prstGeom prst="rect">
              <a:avLst/>
            </a:prstGeom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 bwMode="auto">
          <a:prstGeom prst="rect">
            <a:avLst/>
          </a:prstGeom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411810992"/>
        <c:crosses val="autoZero"/>
        <c:crossBetween val="between"/>
        <c:majorUnit val="5.000000"/>
      </c:valAx>
      <c:spPr bwMode="auto">
        <a:prstGeom prst="rect">
          <a:avLst/>
        </a:prstGeom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065632"/>
          <c:y val="0.939184"/>
          <c:w val="0.900955"/>
          <c:h val="0.050808"/>
        </c:manualLayout>
      </c:layout>
      <c:overlay val="0"/>
      <c:spPr bwMode="auto">
        <a:prstGeom prst="rect">
          <a:avLst/>
        </a:prstGeom>
        <a:noFill/>
        <a:ln w="25400">
          <a:noFill/>
        </a:ln>
      </c:spPr>
      <c:txPr>
        <a:bodyPr/>
        <a:lstStyle/>
        <a:p>
          <a:pPr>
            <a:defRPr sz="650" b="0" i="0" u="none" strike="noStrike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prstGeom prst="rect">
      <a:avLst/>
    </a:prstGeom>
    <a:solidFill>
      <a:srgbClr val="FFFFFF"/>
    </a:solidFill>
    <a:ln w="12700">
      <a:solidFill>
        <a:srgbClr val="000000"/>
      </a:solidFill>
      <a:prstDash val="solid"/>
    </a:ln>
  </c:spPr>
  <c:txPr>
    <a:bodyPr/>
    <a:lstStyle/>
    <a:p>
      <a:pPr>
        <a:defRPr sz="1200" b="0" i="0" u="none" strike="noStrike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 xmlns:r="http://schemas.openxmlformats.org/officeDocument/2006/relationships" xmlns:p="http://schemas.openxmlformats.org/presentation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Arial"/>
      <a:cs typeface="Arial"/>
    </a:majorFont>
    <a:minorFont>
      <a:latin typeface="Calibri"/>
      <a:ea typeface="Arial"/>
      <a:cs typeface="Arial"/>
    </a:minorFont>
  </a:fontScheme>
  <a:fmtScheme name="Стандартная">
    <a:fillStyleLst>
      <a:solidFill>
        <a:schemeClr val="phClr"/>
      </a:solidFill>
      <a:gradFill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</a:effectStyleLst>
    <a:bgFillStyleLst>
      <a:solidFill>
        <a:schemeClr val="phClr"/>
      </a:solidFill>
      <a:gradFill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/>
      </a:gradFill>
      <a:gradFill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/>
      </a:gradFill>
    </a:bgFillStyleLst>
  </a:fmtScheme>
</a:themeOverrid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BEAD2-A2A2-4AEF-9841-0059FAE7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revision>30</cp:revision>
  <dcterms:created xsi:type="dcterms:W3CDTF">2025-07-16T04:09:00Z</dcterms:created>
  <dcterms:modified xsi:type="dcterms:W3CDTF">2025-10-06T11:16:36Z</dcterms:modified>
</cp:coreProperties>
</file>